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E34" w:rsidRDefault="00AC5E34" w:rsidP="00AC5E34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9A53B3" w:rsidRDefault="00AC5E34" w:rsidP="00AC5E34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r w:rsidRPr="00AC5E34"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  <w:t>Índice de expedientillo</w:t>
      </w:r>
    </w:p>
    <w:p w:rsidR="00AC5E34" w:rsidRPr="00AC5E34" w:rsidRDefault="00AC5E34" w:rsidP="00AC5E34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bookmarkStart w:id="0" w:name="_GoBack"/>
      <w:bookmarkEnd w:id="0"/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lastRenderedPageBreak/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7C" w:rsidRDefault="000E197C" w:rsidP="009B6E8C">
      <w:pPr>
        <w:spacing w:after="0" w:line="240" w:lineRule="auto"/>
      </w:pPr>
      <w:r>
        <w:separator/>
      </w:r>
    </w:p>
  </w:endnote>
  <w:endnote w:type="continuationSeparator" w:id="0">
    <w:p w:rsidR="000E197C" w:rsidRDefault="000E197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7C" w:rsidRDefault="000E197C" w:rsidP="009B6E8C">
      <w:pPr>
        <w:spacing w:after="0" w:line="240" w:lineRule="auto"/>
      </w:pPr>
      <w:r>
        <w:separator/>
      </w:r>
    </w:p>
  </w:footnote>
  <w:footnote w:type="continuationSeparator" w:id="0">
    <w:p w:rsidR="000E197C" w:rsidRDefault="000E197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E34" w:rsidRPr="00526CBC" w:rsidRDefault="00AC5E34" w:rsidP="00AC5E34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0E2CB8A6" wp14:editId="64B478F7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31E106D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AC5E34" w:rsidP="00AC5E34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197C"/>
    <w:rsid w:val="000E69F2"/>
    <w:rsid w:val="000F22C8"/>
    <w:rsid w:val="001021AF"/>
    <w:rsid w:val="00135201"/>
    <w:rsid w:val="00135EC5"/>
    <w:rsid w:val="00151124"/>
    <w:rsid w:val="00165CAA"/>
    <w:rsid w:val="00190BFA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C5E34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E12990"/>
    <w:rsid w:val="00E14C2A"/>
    <w:rsid w:val="00E16904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9F02FF6-EA36-4B48-9EA5-489CCC10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F32BC9-0C5F-4BA3-BF7B-1F7F32A0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dcterms:created xsi:type="dcterms:W3CDTF">2013-11-25T19:42:00Z</dcterms:created>
  <dcterms:modified xsi:type="dcterms:W3CDTF">2018-07-16T15:26:00Z</dcterms:modified>
</cp:coreProperties>
</file>