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815" w:rsidRDefault="00DD2815" w:rsidP="00DD2815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snapToGrid w:val="0"/>
          <w:lang w:val="es-ES" w:eastAsia="es-ES"/>
        </w:rPr>
      </w:pPr>
    </w:p>
    <w:p w:rsidR="009A53B3" w:rsidRDefault="00DD2815" w:rsidP="00DD2815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>
        <w:rPr>
          <w:rFonts w:asciiTheme="minorHAnsi" w:eastAsia="Times New Roman" w:hAnsiTheme="minorHAnsi" w:cs="Arial"/>
          <w:b/>
          <w:snapToGrid w:val="0"/>
          <w:lang w:val="es-ES" w:eastAsia="es-ES"/>
        </w:rPr>
        <w:t>Í</w:t>
      </w:r>
      <w:r w:rsidRPr="00DD2815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ndice de expedientillo</w:t>
      </w:r>
    </w:p>
    <w:p w:rsidR="00DD2815" w:rsidRPr="00A7691F" w:rsidRDefault="00DD2815" w:rsidP="00DD2815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snapToGrid w:val="0"/>
          <w:lang w:val="es-ES" w:eastAsia="es-ES"/>
        </w:rPr>
      </w:pPr>
      <w:bookmarkStart w:id="0" w:name="_GoBack"/>
      <w:bookmarkEnd w:id="0"/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491" w:rsidRDefault="00497491" w:rsidP="009B6E8C">
      <w:pPr>
        <w:spacing w:after="0" w:line="240" w:lineRule="auto"/>
      </w:pPr>
      <w:r>
        <w:separator/>
      </w:r>
    </w:p>
  </w:endnote>
  <w:endnote w:type="continuationSeparator" w:id="0">
    <w:p w:rsidR="00497491" w:rsidRDefault="0049749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491" w:rsidRDefault="00497491" w:rsidP="009B6E8C">
      <w:pPr>
        <w:spacing w:after="0" w:line="240" w:lineRule="auto"/>
      </w:pPr>
      <w:r>
        <w:separator/>
      </w:r>
    </w:p>
  </w:footnote>
  <w:footnote w:type="continuationSeparator" w:id="0">
    <w:p w:rsidR="00497491" w:rsidRDefault="0049749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815" w:rsidRPr="00526CBC" w:rsidRDefault="00DD2815" w:rsidP="00DD2815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9561E3C" wp14:editId="37D2C0C9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99C412C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DD2815" w:rsidP="00DD2815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97491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DD2815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67ED5DE-6DE8-41A6-97DC-4752327A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910C4D-1DF5-4B95-A2CD-78852BC16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2018-07-16T15:51:00Z</dcterms:modified>
</cp:coreProperties>
</file>