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-1069813</wp:posOffset>
                </wp:positionH>
                <wp:positionV relativeFrom="paragraph">
                  <wp:posOffset>-876935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A0D3A" w:rsidRPr="00E730E2" w:rsidRDefault="009A0D3A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D3A" w:rsidRDefault="009A0D3A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D3A" w:rsidRPr="006C196A" w:rsidRDefault="009A0D3A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622920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466094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D3A" w:rsidRPr="00880A82" w:rsidRDefault="009A0D3A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880A8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9A0D3A" w:rsidRPr="00880A82" w:rsidRDefault="009A0D3A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880A8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A0D3A" w:rsidRPr="00573908" w:rsidRDefault="009A0D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43349" y="2148120"/>
                            <a:ext cx="3713051" cy="171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A82" w:rsidRPr="00880A82" w:rsidRDefault="009A0D3A" w:rsidP="00880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880A8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</w:p>
                            <w:p w:rsidR="00880A82" w:rsidRPr="00880A82" w:rsidRDefault="00880A82" w:rsidP="00880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 w:rsidRPr="00880A8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de</w:t>
                              </w:r>
                              <w:proofErr w:type="gramEnd"/>
                              <w:r w:rsidRPr="00880A8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la II.EE Víctor </w:t>
                              </w:r>
                            </w:p>
                            <w:p w:rsidR="009A0D3A" w:rsidRPr="00880A82" w:rsidRDefault="00880A82" w:rsidP="00880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80A8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Raúl Haya de la Torre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63493" y="3655517"/>
                            <a:ext cx="4203390" cy="3872332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D3A" w:rsidRPr="00880A82" w:rsidRDefault="009A0D3A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880A82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9A0D3A" w:rsidRPr="00880A82" w:rsidRDefault="009A0D3A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9A0D3A" w:rsidRPr="00880A82" w:rsidRDefault="009A0D3A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880A82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4.25pt;margin-top:-69.0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A0D3A" w:rsidRPr="00E730E2" w:rsidRDefault="009A0D3A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9A0D3A" w:rsidRDefault="009A0D3A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A0D3A" w:rsidRPr="006C196A" w:rsidRDefault="009A0D3A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622920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4660;width:75438;height:10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A0D3A" w:rsidRPr="00880A82" w:rsidRDefault="009A0D3A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880A8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9A0D3A" w:rsidRPr="00880A82" w:rsidRDefault="009A0D3A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880A8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9A0D3A" w:rsidRPr="00573908" w:rsidRDefault="009A0D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9433;top:21481;width:37131;height:17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880A82" w:rsidRPr="00880A82" w:rsidRDefault="009A0D3A" w:rsidP="00880A8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880A82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</w:p>
                      <w:p w:rsidR="00880A82" w:rsidRPr="00880A82" w:rsidRDefault="00880A82" w:rsidP="00880A8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proofErr w:type="gramStart"/>
                        <w:r w:rsidRPr="00880A82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de</w:t>
                        </w:r>
                        <w:proofErr w:type="gramEnd"/>
                        <w:r w:rsidRPr="00880A82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la II.EE Víctor </w:t>
                        </w:r>
                      </w:p>
                      <w:p w:rsidR="009A0D3A" w:rsidRPr="00880A82" w:rsidRDefault="00880A82" w:rsidP="00880A82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80A82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Raúl Haya de la Torre </w:t>
                        </w:r>
                      </w:p>
                    </w:txbxContent>
                  </v:textbox>
                </v:shape>
                <v:oval id="Oval 23" o:spid="_x0000_s1037" style="position:absolute;left:19634;top:36555;width:42034;height:38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9A0D3A" w:rsidRPr="00880A82" w:rsidRDefault="009A0D3A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880A82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9A0D3A" w:rsidRPr="00880A82" w:rsidRDefault="009A0D3A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9A0D3A" w:rsidRPr="00880A82" w:rsidRDefault="009A0D3A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880A82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03D13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171072" w:rsidRPr="00F90D41" w:rsidRDefault="00171072" w:rsidP="0017107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171072" w:rsidRPr="00F90D41" w:rsidRDefault="00171072" w:rsidP="00171072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171072" w:rsidRPr="00F90D41" w:rsidRDefault="00171072" w:rsidP="00171072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171072" w:rsidRPr="00F90D41" w:rsidRDefault="00171072" w:rsidP="00171072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171072" w:rsidRPr="00F90D41" w:rsidRDefault="00171072" w:rsidP="00171072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171072" w:rsidRPr="00F90D41" w:rsidTr="00880A82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171072" w:rsidRPr="000223A1" w:rsidRDefault="00171072" w:rsidP="00880A8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71072" w:rsidRPr="00F90D41" w:rsidRDefault="00171072" w:rsidP="00880A82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171072" w:rsidRPr="00F90D41" w:rsidTr="00880A82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171072" w:rsidRPr="000223A1" w:rsidRDefault="00171072" w:rsidP="00880A8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71072" w:rsidRPr="00F90D41" w:rsidRDefault="00171072" w:rsidP="00880A8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171072" w:rsidRPr="00F90D41" w:rsidTr="00880A82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171072" w:rsidRPr="000223A1" w:rsidRDefault="00171072" w:rsidP="00880A82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71072" w:rsidRPr="00F90D41" w:rsidRDefault="00171072" w:rsidP="00880A8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171072" w:rsidRPr="00F90D41" w:rsidTr="00880A82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171072" w:rsidRPr="000223A1" w:rsidRDefault="00171072" w:rsidP="00880A8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71072" w:rsidRPr="00F90D41" w:rsidRDefault="00171072" w:rsidP="00880A8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171072" w:rsidRPr="00F90D41" w:rsidTr="00880A82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171072" w:rsidRPr="000223A1" w:rsidRDefault="00171072" w:rsidP="00880A8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71072" w:rsidRPr="00F90D41" w:rsidRDefault="00171072" w:rsidP="00880A8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171072" w:rsidRPr="00F90D41" w:rsidRDefault="00171072" w:rsidP="0017107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171072" w:rsidRPr="00F90D41" w:rsidRDefault="00171072" w:rsidP="0017107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25"/>
        <w:gridCol w:w="1217"/>
        <w:gridCol w:w="1122"/>
        <w:gridCol w:w="1005"/>
      </w:tblGrid>
      <w:tr w:rsidR="00171072" w:rsidRPr="009D4F4F" w:rsidTr="00880A82">
        <w:trPr>
          <w:trHeight w:val="645"/>
          <w:jc w:val="center"/>
        </w:trPr>
        <w:tc>
          <w:tcPr>
            <w:tcW w:w="1080" w:type="dxa"/>
            <w:shd w:val="clear" w:color="auto" w:fill="FBD4B4" w:themeFill="accent6" w:themeFillTint="66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25" w:type="dxa"/>
            <w:shd w:val="clear" w:color="auto" w:fill="FBD4B4" w:themeFill="accent6" w:themeFillTint="66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17" w:type="dxa"/>
            <w:shd w:val="clear" w:color="auto" w:fill="FBD4B4" w:themeFill="accent6" w:themeFillTint="66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BD4B4" w:themeFill="accent6" w:themeFillTint="66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05" w:type="dxa"/>
            <w:shd w:val="clear" w:color="auto" w:fill="FBD4B4" w:themeFill="accent6" w:themeFillTint="66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1072" w:rsidRPr="009D4F4F" w:rsidTr="00171072">
        <w:trPr>
          <w:trHeight w:val="514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Ongoy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171072" w:rsidRPr="009D4F4F" w:rsidRDefault="00171072" w:rsidP="001710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Rocchacc</w:t>
            </w:r>
          </w:p>
        </w:tc>
      </w:tr>
    </w:tbl>
    <w:p w:rsidR="00171072" w:rsidRPr="00F90D41" w:rsidRDefault="00171072" w:rsidP="00171072">
      <w:pPr>
        <w:contextualSpacing/>
        <w:jc w:val="both"/>
        <w:rPr>
          <w:rFonts w:eastAsia="Calibri" w:cs="Arial"/>
          <w:b/>
        </w:rPr>
      </w:pPr>
    </w:p>
    <w:p w:rsidR="00171072" w:rsidRPr="00F90D41" w:rsidRDefault="00171072" w:rsidP="00171072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171072" w:rsidRPr="00F90D41" w:rsidTr="00880A82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171072" w:rsidRPr="00F90D41" w:rsidTr="00B92FCD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Víctor Raúl Haya de La Torre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171072" w:rsidRPr="00F90D41" w:rsidRDefault="00171072" w:rsidP="009F7D5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1205996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171072" w:rsidRPr="00F90D41" w:rsidRDefault="00880A82" w:rsidP="009F7D5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171072" w:rsidRPr="00F90D41" w:rsidTr="00880A82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171072" w:rsidRPr="00F90D41" w:rsidTr="00B92FCD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8513616.05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651451.45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171072" w:rsidRPr="00F90D41" w:rsidRDefault="00171072" w:rsidP="009F7D5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3039</w:t>
            </w:r>
          </w:p>
        </w:tc>
      </w:tr>
    </w:tbl>
    <w:p w:rsidR="00171072" w:rsidRDefault="00171072" w:rsidP="0017107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171072" w:rsidRPr="00F90D41" w:rsidRDefault="00171072" w:rsidP="0017107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ROCCHACC</w:t>
      </w:r>
    </w:p>
    <w:p w:rsidR="00171072" w:rsidRPr="00F90D41" w:rsidRDefault="00171072" w:rsidP="00171072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Rocchacc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Ongoy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9A0D3A" w:rsidRDefault="009A0D3A" w:rsidP="009A0D3A">
      <w:pPr>
        <w:spacing w:after="0"/>
        <w:ind w:left="1418"/>
        <w:rPr>
          <w:rFonts w:cs="Arial"/>
          <w:b/>
        </w:rPr>
      </w:pPr>
    </w:p>
    <w:p w:rsidR="00880A82" w:rsidRDefault="00880A82" w:rsidP="00880A82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</w:rPr>
        <w:t xml:space="preserve">   </w:t>
      </w:r>
      <w:r w:rsidR="009A0D3A">
        <w:rPr>
          <w:rFonts w:cs="Arial"/>
          <w:b/>
        </w:rPr>
        <w:t xml:space="preserve"> </w:t>
      </w:r>
      <w:r w:rsidR="00171072" w:rsidRPr="00F90D41">
        <w:rPr>
          <w:rFonts w:cs="Arial"/>
          <w:b/>
        </w:rPr>
        <w:t xml:space="preserve">VISTA PANORÁMICA DEL CENTRO POBLADO DE </w:t>
      </w:r>
      <w:r w:rsidR="00171072" w:rsidRPr="00C845B3">
        <w:rPr>
          <w:rFonts w:cs="Arial"/>
          <w:b/>
          <w:noProof/>
        </w:rPr>
        <w:t>ROCCHACC</w:t>
      </w:r>
    </w:p>
    <w:p w:rsidR="00880A82" w:rsidRDefault="00880A82" w:rsidP="00880A82">
      <w:pPr>
        <w:spacing w:after="0" w:line="240" w:lineRule="auto"/>
        <w:ind w:left="709"/>
        <w:rPr>
          <w:rFonts w:cs="Arial"/>
          <w:b/>
          <w:noProof/>
        </w:rPr>
      </w:pPr>
      <w:r w:rsidRPr="00880A82">
        <w:rPr>
          <w:rFonts w:cs="Arial"/>
          <w:b/>
          <w:noProof/>
          <w:lang w:val="es-PE" w:eastAsia="es-PE"/>
        </w:rPr>
        <w:drawing>
          <wp:inline distT="0" distB="0" distL="0" distR="0">
            <wp:extent cx="3898900" cy="2924175"/>
            <wp:effectExtent l="76200" t="76200" r="139700" b="142875"/>
            <wp:docPr id="12" name="Imagen 12" descr="D:\VIAJE FOTOS CHINCHEROS\VICTOR RAUL HAYA DE LA TORRE\DSC01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AJE FOTOS CHINCHEROS\VICTOR RAUL HAYA DE LA TORRE\DSC014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1072" w:rsidRPr="009A0D3A" w:rsidRDefault="009A0D3A" w:rsidP="00880A82">
      <w:pPr>
        <w:spacing w:after="0" w:line="240" w:lineRule="auto"/>
        <w:jc w:val="both"/>
        <w:rPr>
          <w:rFonts w:cs="Arial"/>
          <w:color w:val="000000"/>
          <w:lang w:val="es-ES"/>
        </w:rPr>
      </w:pPr>
      <w:r>
        <w:rPr>
          <w:rFonts w:cs="Arial"/>
          <w:color w:val="000000"/>
          <w:lang w:val="es-ES"/>
        </w:rPr>
        <w:t xml:space="preserve">                        </w:t>
      </w:r>
      <w:r w:rsidR="00171072" w:rsidRPr="009A0D3A">
        <w:rPr>
          <w:rFonts w:cs="Arial"/>
          <w:color w:val="000000"/>
          <w:lang w:val="es-ES"/>
        </w:rPr>
        <w:t xml:space="preserve"> </w:t>
      </w:r>
      <w:r w:rsidR="009F7D53" w:rsidRPr="009A0D3A">
        <w:rPr>
          <w:rFonts w:cs="Arial"/>
          <w:color w:val="000000"/>
          <w:lang w:val="es-ES"/>
        </w:rPr>
        <w:t xml:space="preserve"> </w:t>
      </w:r>
      <w:r w:rsidR="00880A82">
        <w:rPr>
          <w:rFonts w:cs="Arial"/>
          <w:color w:val="000000"/>
          <w:lang w:val="es-ES"/>
        </w:rPr>
        <w:t xml:space="preserve">    </w:t>
      </w:r>
      <w:r w:rsidR="009F7D53" w:rsidRPr="009A0D3A">
        <w:rPr>
          <w:rFonts w:cs="Arial"/>
          <w:color w:val="000000"/>
          <w:lang w:val="es-ES"/>
        </w:rPr>
        <w:t>Fuente: Diagnóstico</w:t>
      </w:r>
      <w:r w:rsidR="00171072" w:rsidRPr="009A0D3A">
        <w:rPr>
          <w:rFonts w:cs="Arial"/>
          <w:color w:val="000000"/>
          <w:lang w:val="es-ES"/>
        </w:rPr>
        <w:t xml:space="preserve"> de campo</w:t>
      </w:r>
      <w:r>
        <w:rPr>
          <w:rFonts w:cs="Arial"/>
          <w:color w:val="000000"/>
          <w:lang w:val="es-ES"/>
        </w:rPr>
        <w:t>, 2018</w:t>
      </w:r>
      <w:r w:rsidR="009F7D53" w:rsidRPr="009A0D3A">
        <w:rPr>
          <w:rFonts w:cs="Arial"/>
          <w:color w:val="000000"/>
          <w:lang w:val="es-ES"/>
        </w:rPr>
        <w:t>.</w:t>
      </w:r>
    </w:p>
    <w:p w:rsidR="00171072" w:rsidRPr="00F90D41" w:rsidRDefault="00171072" w:rsidP="00171072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ROCCHACC</w:t>
      </w:r>
    </w:p>
    <w:p w:rsidR="00171072" w:rsidRDefault="00171072" w:rsidP="00171072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190.00</w:t>
      </w:r>
      <w:r w:rsidRPr="00F90D41">
        <w:rPr>
          <w:rFonts w:cs="Arial"/>
          <w:noProof/>
        </w:rPr>
        <w:t xml:space="preserve">km2 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ROCCHACC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Rocchacc</w:t>
      </w:r>
      <w:r>
        <w:rPr>
          <w:rFonts w:cs="Arial"/>
          <w:noProof/>
        </w:rPr>
        <w:t xml:space="preserve"> tiene una densidad </w:t>
      </w:r>
      <w:r w:rsidR="00A67915">
        <w:rPr>
          <w:rFonts w:cs="Arial"/>
          <w:noProof/>
        </w:rPr>
        <w:t>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3.95</w:t>
      </w:r>
      <w:r w:rsidRPr="00F90D41">
        <w:rPr>
          <w:rFonts w:cs="Arial"/>
          <w:noProof/>
        </w:rPr>
        <w:t>hab/km2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ROCCHACC</w:t>
      </w:r>
    </w:p>
    <w:p w:rsidR="00171072" w:rsidRPr="00F90D41" w:rsidRDefault="00171072" w:rsidP="009A0D3A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Huamburque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171072" w:rsidRPr="00F90D41" w:rsidRDefault="00171072" w:rsidP="009A0D3A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A67915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Mosobamba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171072" w:rsidRPr="00F90D41" w:rsidRDefault="00171072" w:rsidP="009A0D3A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="00A67915">
        <w:rPr>
          <w:rFonts w:asciiTheme="minorHAnsi" w:hAnsiTheme="minorHAnsi" w:cs="Arial"/>
          <w:noProof/>
          <w:sz w:val="22"/>
          <w:szCs w:val="22"/>
        </w:rPr>
        <w:t>Porvernir</w:t>
      </w:r>
      <w:r w:rsidRPr="00C845B3">
        <w:rPr>
          <w:rFonts w:asciiTheme="minorHAnsi" w:hAnsiTheme="minorHAnsi" w:cs="Arial"/>
          <w:noProof/>
          <w:sz w:val="22"/>
          <w:szCs w:val="22"/>
        </w:rPr>
        <w:t xml:space="preserve"> -Ocobamba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171072" w:rsidRPr="00F90D41" w:rsidRDefault="00171072" w:rsidP="009A0D3A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</w:t>
      </w:r>
      <w:r w:rsidR="00A67915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Santa Rosa de Ongoy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ROCCHACC</w:t>
      </w:r>
    </w:p>
    <w:p w:rsidR="009A0D3A" w:rsidRPr="00F90D41" w:rsidRDefault="00DF6CF4" w:rsidP="009A0D3A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Rocchacc</w:t>
      </w:r>
      <w:r w:rsidR="00171072" w:rsidRPr="00F90D41">
        <w:rPr>
          <w:rFonts w:cs="Arial"/>
          <w:noProof/>
        </w:rPr>
        <w:t xml:space="preserve"> se encuentra dividida en 0</w:t>
      </w:r>
      <w:r w:rsidR="00863947">
        <w:rPr>
          <w:rFonts w:cs="Arial"/>
          <w:noProof/>
        </w:rPr>
        <w:t>5</w:t>
      </w:r>
      <w:r w:rsidR="00171072" w:rsidRPr="00F90D41">
        <w:rPr>
          <w:rFonts w:cs="Arial"/>
          <w:noProof/>
        </w:rPr>
        <w:t xml:space="preserve"> barrios.</w:t>
      </w:r>
    </w:p>
    <w:p w:rsidR="00171072" w:rsidRDefault="00171072" w:rsidP="00863947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171072" w:rsidRDefault="00171072" w:rsidP="00863947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 w:rsidR="00863947">
        <w:rPr>
          <w:rFonts w:cs="Arial"/>
          <w:b/>
          <w:noProof/>
        </w:rPr>
        <w:t>centro poblado de Rocchacc</w:t>
      </w:r>
      <w:r w:rsidR="00863947" w:rsidRPr="00F90D41">
        <w:rPr>
          <w:rFonts w:cs="Arial"/>
          <w:b/>
          <w:noProof/>
        </w:rPr>
        <w:t xml:space="preserve"> </w:t>
      </w:r>
    </w:p>
    <w:tbl>
      <w:tblPr>
        <w:tblW w:w="5960" w:type="dxa"/>
        <w:tblInd w:w="1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980"/>
        <w:gridCol w:w="460"/>
        <w:gridCol w:w="1512"/>
        <w:gridCol w:w="458"/>
        <w:gridCol w:w="2140"/>
      </w:tblGrid>
      <w:tr w:rsidR="00171072" w:rsidRPr="00171072" w:rsidTr="00622920">
        <w:trPr>
          <w:trHeight w:val="432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 xml:space="preserve"> Barrios</w:t>
            </w:r>
          </w:p>
        </w:tc>
      </w:tr>
      <w:tr w:rsidR="00171072" w:rsidRPr="00171072" w:rsidTr="00863947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Ongoy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Roccchac</w:t>
            </w:r>
            <w:proofErr w:type="spell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Villa </w:t>
            </w:r>
            <w:proofErr w:type="spellStart"/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Maraypata</w:t>
            </w:r>
            <w:proofErr w:type="spellEnd"/>
          </w:p>
        </w:tc>
      </w:tr>
      <w:tr w:rsidR="00171072" w:rsidRPr="00171072" w:rsidTr="00863947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Progreso </w:t>
            </w:r>
            <w:proofErr w:type="spellStart"/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Challhuani</w:t>
            </w:r>
            <w:proofErr w:type="spellEnd"/>
          </w:p>
        </w:tc>
      </w:tr>
      <w:tr w:rsidR="00171072" w:rsidRPr="00171072" w:rsidTr="00863947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 Alegre</w:t>
            </w:r>
          </w:p>
        </w:tc>
      </w:tr>
      <w:tr w:rsidR="00171072" w:rsidRPr="00171072" w:rsidTr="00863947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Nueva Esperanza</w:t>
            </w:r>
          </w:p>
        </w:tc>
      </w:tr>
      <w:tr w:rsidR="00171072" w:rsidRPr="00171072" w:rsidTr="00622920">
        <w:trPr>
          <w:trHeight w:val="134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171072" w:rsidRDefault="00171072" w:rsidP="00171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7107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 Lorenzo</w:t>
            </w:r>
          </w:p>
        </w:tc>
      </w:tr>
    </w:tbl>
    <w:p w:rsidR="00171072" w:rsidRDefault="00863947" w:rsidP="00171072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</w:t>
      </w:r>
      <w:r w:rsidR="00171072">
        <w:rPr>
          <w:rFonts w:cs="Arial"/>
          <w:noProof/>
        </w:rPr>
        <w:t xml:space="preserve"> </w:t>
      </w:r>
      <w:r w:rsidR="009F7D53">
        <w:rPr>
          <w:rFonts w:cs="Arial"/>
          <w:noProof/>
        </w:rPr>
        <w:t>Fuente : Diagnóstico</w:t>
      </w:r>
      <w:r w:rsidR="00171072" w:rsidRPr="00F90D41">
        <w:rPr>
          <w:rFonts w:cs="Arial"/>
          <w:noProof/>
        </w:rPr>
        <w:t xml:space="preserve"> de campo</w:t>
      </w:r>
      <w:r w:rsidR="009A0D3A">
        <w:rPr>
          <w:rFonts w:cs="Arial"/>
          <w:noProof/>
        </w:rPr>
        <w:t>, 2018.</w:t>
      </w:r>
    </w:p>
    <w:p w:rsidR="009A0D3A" w:rsidRDefault="009A0D3A" w:rsidP="009A0D3A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171072" w:rsidRPr="00F90D41" w:rsidRDefault="00171072" w:rsidP="00171072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B92FCD" w:rsidRDefault="00B92FCD" w:rsidP="00B92FCD">
      <w:pPr>
        <w:spacing w:before="120" w:after="120"/>
        <w:ind w:left="1701"/>
        <w:jc w:val="both"/>
        <w:rPr>
          <w:rFonts w:cs="Arial"/>
        </w:rPr>
      </w:pPr>
      <w:r w:rsidRPr="00B92FCD">
        <w:rPr>
          <w:rFonts w:cs="Arial"/>
        </w:rPr>
        <w:t>El modo de acceder</w:t>
      </w:r>
      <w:r w:rsidR="00F25077">
        <w:rPr>
          <w:rFonts w:cs="Arial"/>
        </w:rPr>
        <w:t xml:space="preserve"> al Centro Poblado de </w:t>
      </w:r>
      <w:proofErr w:type="spellStart"/>
      <w:r w:rsidR="00F25077">
        <w:rPr>
          <w:rFonts w:cs="Arial"/>
        </w:rPr>
        <w:t>Rocchacc</w:t>
      </w:r>
      <w:proofErr w:type="spellEnd"/>
      <w:r w:rsidR="00F25077">
        <w:rPr>
          <w:rFonts w:cs="Arial"/>
        </w:rPr>
        <w:t xml:space="preserve"> </w:t>
      </w:r>
      <w:r w:rsidRPr="00B92FCD">
        <w:rPr>
          <w:rFonts w:cs="Arial"/>
        </w:rPr>
        <w:t xml:space="preserve">desde la ciudad de Abancay es a través  de la carretera Panamericana  Abancay – Andahuaylas – Ayacucho, hasta  el puente  </w:t>
      </w:r>
      <w:proofErr w:type="spellStart"/>
      <w:r w:rsidRPr="00B92FCD">
        <w:rPr>
          <w:rFonts w:cs="Arial"/>
        </w:rPr>
        <w:t>Sahuinto</w:t>
      </w:r>
      <w:proofErr w:type="spellEnd"/>
      <w:r w:rsidRPr="00B92FCD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B92FCD">
        <w:rPr>
          <w:rFonts w:cs="Arial"/>
        </w:rPr>
        <w:t>Ocobamba</w:t>
      </w:r>
      <w:proofErr w:type="spellEnd"/>
      <w:r w:rsidRPr="00B92FCD">
        <w:rPr>
          <w:rFonts w:cs="Arial"/>
        </w:rPr>
        <w:t xml:space="preserve"> se recorre 42.7 km (Carretera afirmada), de </w:t>
      </w:r>
      <w:proofErr w:type="spellStart"/>
      <w:r w:rsidRPr="00B92FCD">
        <w:rPr>
          <w:rFonts w:cs="Arial"/>
        </w:rPr>
        <w:t>Ocobamba</w:t>
      </w:r>
      <w:proofErr w:type="spellEnd"/>
      <w:r w:rsidRPr="00B92FCD">
        <w:rPr>
          <w:rFonts w:cs="Arial"/>
        </w:rPr>
        <w:t xml:space="preserve"> a </w:t>
      </w:r>
      <w:proofErr w:type="spellStart"/>
      <w:r w:rsidRPr="00B92FCD">
        <w:rPr>
          <w:rFonts w:cs="Arial"/>
        </w:rPr>
        <w:t>Rocchacc</w:t>
      </w:r>
      <w:proofErr w:type="spellEnd"/>
      <w:r w:rsidRPr="00B92FCD">
        <w:rPr>
          <w:rFonts w:cs="Arial"/>
        </w:rPr>
        <w:t xml:space="preserve"> se recorre  2</w:t>
      </w:r>
      <w:r>
        <w:rPr>
          <w:rFonts w:cs="Arial"/>
        </w:rPr>
        <w:t>2.5 Km.</w:t>
      </w:r>
    </w:p>
    <w:p w:rsidR="00B92FCD" w:rsidRPr="00B92FCD" w:rsidRDefault="00B92FCD" w:rsidP="00B92FCD">
      <w:pPr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>E</w:t>
      </w:r>
      <w:r w:rsidRPr="00B92FCD">
        <w:rPr>
          <w:rFonts w:cs="Arial"/>
        </w:rPr>
        <w:t>n conclusión de la ciudad de Abancay al centro pob</w:t>
      </w:r>
      <w:r>
        <w:rPr>
          <w:rFonts w:cs="Arial"/>
        </w:rPr>
        <w:t>lado existe una distancia de 207</w:t>
      </w:r>
      <w:r w:rsidRPr="00B92FCD">
        <w:rPr>
          <w:rFonts w:cs="Arial"/>
        </w:rPr>
        <w:t>.02 Km Ver mapa MV 01 en el capítulo de planos.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B92FCD" w:rsidRDefault="00B92FCD" w:rsidP="00B92FCD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="00DF6CF4">
        <w:rPr>
          <w:rFonts w:cs="Arial"/>
          <w:noProof/>
        </w:rPr>
        <w:t>Rocchacc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(Carretera afirmada), hasta llegar al centro poblado de </w:t>
      </w:r>
      <w:proofErr w:type="spellStart"/>
      <w:r>
        <w:rPr>
          <w:rFonts w:cs="Arial"/>
        </w:rPr>
        <w:t>Rocchacc</w:t>
      </w:r>
      <w:proofErr w:type="spellEnd"/>
      <w:r>
        <w:rPr>
          <w:rFonts w:cs="Arial"/>
        </w:rPr>
        <w:t xml:space="preserve"> (Trocha).</w:t>
      </w:r>
    </w:p>
    <w:p w:rsidR="00B92FCD" w:rsidRPr="00F90D41" w:rsidRDefault="00B92FCD" w:rsidP="00B92FCD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>
        <w:rPr>
          <w:rFonts w:cs="Arial"/>
        </w:rPr>
        <w:t xml:space="preserve">Existe una 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alterna (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Ongoy</w:t>
      </w:r>
      <w:proofErr w:type="spellEnd"/>
      <w:r>
        <w:rPr>
          <w:rFonts w:cs="Arial"/>
        </w:rPr>
        <w:t xml:space="preserve"> - </w:t>
      </w:r>
      <w:proofErr w:type="spellStart"/>
      <w:r>
        <w:rPr>
          <w:rFonts w:cs="Arial"/>
        </w:rPr>
        <w:t>Rocchac</w:t>
      </w:r>
      <w:proofErr w:type="spellEnd"/>
      <w:r>
        <w:rPr>
          <w:rFonts w:cs="Arial"/>
        </w:rPr>
        <w:t>).</w:t>
      </w:r>
    </w:p>
    <w:p w:rsidR="00171072" w:rsidRDefault="00171072" w:rsidP="00B92FCD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B92FCD" w:rsidRDefault="00B92FCD" w:rsidP="00B92FCD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 xml:space="preserve">Vías de acceso al centro poblado </w:t>
      </w:r>
      <w:r>
        <w:rPr>
          <w:rFonts w:cs="Arial"/>
          <w:b/>
        </w:rPr>
        <w:t>de Rocchacc</w:t>
      </w:r>
    </w:p>
    <w:tbl>
      <w:tblPr>
        <w:tblW w:w="7000" w:type="dxa"/>
        <w:tblInd w:w="1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  <w:gridCol w:w="1060"/>
        <w:gridCol w:w="940"/>
        <w:gridCol w:w="1420"/>
      </w:tblGrid>
      <w:tr w:rsidR="00B92FCD" w:rsidRPr="00B92FCD" w:rsidTr="00880A82">
        <w:trPr>
          <w:trHeight w:val="48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B92FCD" w:rsidRPr="00B92FCD" w:rsidTr="00B92FCD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92FCD" w:rsidRPr="00B92FCD" w:rsidTr="00B92FCD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92FCD" w:rsidRPr="00B92FCD" w:rsidTr="00B92FCD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92FCD" w:rsidRPr="00B92FCD" w:rsidTr="00B92FCD">
        <w:trPr>
          <w:trHeight w:val="5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92FCD" w:rsidRPr="00B92FCD" w:rsidTr="00B92FCD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Roccchacc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B92FCD" w:rsidRPr="00B92FCD" w:rsidTr="00880A82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207.02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B92FCD" w:rsidRPr="00B92FCD" w:rsidTr="00B92FCD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Carretea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92FCD" w:rsidRPr="00B92FCD" w:rsidTr="00B92FCD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Roccchaacc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FCD" w:rsidRPr="00B92FCD" w:rsidRDefault="00B92FCD" w:rsidP="009A0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92FC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</w:tbl>
    <w:p w:rsidR="00171072" w:rsidRPr="00C2121D" w:rsidRDefault="00B92FCD" w:rsidP="00171072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</w:t>
      </w:r>
      <w:r w:rsidR="00171072">
        <w:rPr>
          <w:rFonts w:eastAsia="Calibri" w:cs="Arial"/>
          <w:b/>
        </w:rPr>
        <w:t xml:space="preserve">        </w:t>
      </w:r>
      <w:r w:rsidR="00622920">
        <w:rPr>
          <w:rFonts w:eastAsia="Calibri" w:cs="Arial"/>
        </w:rPr>
        <w:t>Fuente: Elaboración propia</w:t>
      </w:r>
      <w:r w:rsidR="009A0D3A">
        <w:rPr>
          <w:rFonts w:eastAsia="Calibri" w:cs="Arial"/>
        </w:rPr>
        <w:t>, 2018</w:t>
      </w:r>
    </w:p>
    <w:p w:rsidR="00171072" w:rsidRPr="00F90D41" w:rsidRDefault="00171072" w:rsidP="00171072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171072" w:rsidRPr="00F90D41" w:rsidRDefault="00171072" w:rsidP="0017107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Rocchacc</w:t>
      </w:r>
    </w:p>
    <w:p w:rsidR="009A0D3A" w:rsidRDefault="00B92FCD" w:rsidP="00EC24D3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la parte alta </w:t>
      </w: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>con pendientes pronunciadas, en la parte inferior se estrecha un pequeño valle que al final se estrecha en una quebrada.</w:t>
      </w:r>
    </w:p>
    <w:p w:rsidR="00EC24D3" w:rsidRDefault="00EC24D3" w:rsidP="00EC24D3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622920" w:rsidRDefault="00622920" w:rsidP="00B92FC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B92FCD" w:rsidRPr="00F90D41" w:rsidRDefault="00B92FCD" w:rsidP="00B92FC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</w:t>
      </w:r>
      <w:r>
        <w:rPr>
          <w:rFonts w:eastAsia="Calibri" w:cs="Arial"/>
          <w:iCs/>
          <w:lang w:eastAsia="en-US"/>
        </w:rPr>
        <w:t xml:space="preserve">, cuyas </w:t>
      </w:r>
      <w:r w:rsidRPr="00F90D41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</w:t>
      </w:r>
      <w:r>
        <w:rPr>
          <w:rFonts w:eastAsia="Calibri" w:cs="Arial"/>
          <w:iCs/>
          <w:lang w:eastAsia="en-US"/>
        </w:rPr>
        <w:t>arcilloso.</w:t>
      </w:r>
    </w:p>
    <w:p w:rsidR="00171072" w:rsidRPr="00F90D41" w:rsidRDefault="00171072" w:rsidP="0017107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B92FCD" w:rsidRPr="00F90D41" w:rsidRDefault="00B92FCD" w:rsidP="00B92FC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Presenta un clima templado - húmedo,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>. Su ubicación geográfica altitudinal y topográfica que oscila entre los</w:t>
      </w:r>
      <w:r>
        <w:rPr>
          <w:rFonts w:eastAsia="Calibri" w:cs="Arial"/>
          <w:iCs/>
          <w:color w:val="000000"/>
          <w:lang w:eastAsia="en-US"/>
        </w:rPr>
        <w:t xml:space="preserve"> 2500 msnm hasta los 4100 msnm.</w:t>
      </w:r>
    </w:p>
    <w:p w:rsidR="00171072" w:rsidRPr="00F90D41" w:rsidRDefault="00171072" w:rsidP="00171072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171072" w:rsidRPr="00F90D41" w:rsidRDefault="00171072" w:rsidP="0017107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193190">
        <w:rPr>
          <w:rFonts w:eastAsia="Calibri" w:cs="Arial"/>
          <w:iCs/>
          <w:color w:val="000000"/>
          <w:lang w:eastAsia="en-US"/>
        </w:rPr>
        <w:t>promedio 21 °C.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</w:p>
    <w:p w:rsidR="00171072" w:rsidRPr="00F90D41" w:rsidRDefault="00171072" w:rsidP="0017107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D40FE4" w:rsidRPr="00D40FE4" w:rsidRDefault="00D40FE4" w:rsidP="00D40FE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Rocchacc </w:t>
      </w:r>
      <w:r w:rsidRPr="00D40FE4">
        <w:rPr>
          <w:rFonts w:eastAsia="Calibri" w:cs="Arial"/>
          <w:iCs/>
          <w:color w:val="000000"/>
          <w:lang w:eastAsia="en-US"/>
        </w:rPr>
        <w:t>presenta dos estaciones una que va desde el mes de diciembre al mes de abril caracterizado por ser muy lluvioso y la otra estación de  que empieza desde el mes de abril a noviembre caracterizada por ser seca y siendo las precipitaciones mínimas en estos meses.</w:t>
      </w:r>
    </w:p>
    <w:p w:rsidR="00171072" w:rsidRPr="00F90D41" w:rsidRDefault="00171072" w:rsidP="00171072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171072" w:rsidRPr="00F90D41" w:rsidRDefault="00171072" w:rsidP="0017107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D40FE4" w:rsidRPr="006F6921" w:rsidRDefault="00D40FE4" w:rsidP="00D40FE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registra </w:t>
      </w:r>
      <w:r>
        <w:rPr>
          <w:rFonts w:eastAsia="Calibri" w:cs="Arial"/>
          <w:iCs/>
          <w:color w:val="000000"/>
          <w:lang w:eastAsia="en-US"/>
        </w:rPr>
        <w:t>1 rio (</w:t>
      </w:r>
      <w:proofErr w:type="spellStart"/>
      <w:r>
        <w:rPr>
          <w:rFonts w:eastAsia="Calibri" w:cs="Arial"/>
          <w:iCs/>
          <w:color w:val="000000"/>
          <w:lang w:eastAsia="en-US"/>
        </w:rPr>
        <w:t>Latuyocc</w:t>
      </w:r>
      <w:proofErr w:type="spellEnd"/>
      <w:r>
        <w:rPr>
          <w:rFonts w:eastAsia="Calibri" w:cs="Arial"/>
          <w:iCs/>
          <w:color w:val="000000"/>
          <w:lang w:eastAsia="en-US"/>
        </w:rPr>
        <w:t>), 5 riachuelos (</w:t>
      </w:r>
      <w:proofErr w:type="spellStart"/>
      <w:r>
        <w:rPr>
          <w:rFonts w:eastAsia="Calibri" w:cs="Arial"/>
          <w:iCs/>
          <w:color w:val="000000"/>
          <w:lang w:eastAsia="en-US"/>
        </w:rPr>
        <w:t>Challhuachayocc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Rancahuaycco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Yllaulla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Paccaryscca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Casacancha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). </w:t>
      </w:r>
      <w:r w:rsidRPr="006F6921">
        <w:rPr>
          <w:rFonts w:eastAsia="Calibri" w:cs="Arial"/>
          <w:iCs/>
          <w:color w:val="000000"/>
          <w:lang w:eastAsia="en-US"/>
        </w:rPr>
        <w:t>En la mayoría de los casos</w:t>
      </w:r>
      <w:r>
        <w:rPr>
          <w:rFonts w:eastAsia="Calibri" w:cs="Arial"/>
          <w:iCs/>
          <w:color w:val="000000"/>
          <w:lang w:eastAsia="en-US"/>
        </w:rPr>
        <w:t xml:space="preserve">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manante son utilizados </w:t>
      </w:r>
      <w:r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>
        <w:rPr>
          <w:rFonts w:eastAsia="Calibri" w:cs="Arial"/>
          <w:iCs/>
          <w:color w:val="000000"/>
          <w:lang w:eastAsia="en-US"/>
        </w:rPr>
        <w:t>po de agua entubada y la irrigación de la tierra agrícola  en el centro poblado.</w:t>
      </w:r>
    </w:p>
    <w:p w:rsidR="00171072" w:rsidRPr="00F90D41" w:rsidRDefault="00171072" w:rsidP="00171072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171072" w:rsidRPr="00F90D41" w:rsidRDefault="00171072" w:rsidP="0017107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171072" w:rsidRPr="00F90D41" w:rsidRDefault="00171072" w:rsidP="0017107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Rocchacc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913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731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</w:t>
      </w:r>
      <w:r w:rsidR="00F25077">
        <w:rPr>
          <w:rFonts w:eastAsia="Calibri" w:cs="Arial"/>
          <w:iCs/>
          <w:color w:val="000000"/>
          <w:lang w:eastAsia="en-US"/>
        </w:rPr>
        <w:t>población del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-1.58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A0576A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Rocchacc</w:t>
      </w:r>
      <w:r w:rsidR="00A0576A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9A0D3A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9A0D3A">
        <w:rPr>
          <w:rFonts w:eastAsia="Calibri" w:cs="Arial"/>
          <w:iCs/>
          <w:noProof/>
          <w:color w:val="000000"/>
          <w:lang w:eastAsia="en-US"/>
        </w:rPr>
        <w:t>784</w:t>
      </w:r>
      <w:r w:rsidR="00F2507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171072" w:rsidRDefault="00171072" w:rsidP="006165FF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6165FF" w:rsidRDefault="006165FF" w:rsidP="006165FF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del centro poblado de Rocchacc</w:t>
      </w:r>
      <w:r w:rsidR="00171072" w:rsidRPr="00F90D41">
        <w:rPr>
          <w:rFonts w:eastAsia="Calibri" w:cs="Arial"/>
          <w:b/>
          <w:lang w:eastAsia="en-US"/>
        </w:rPr>
        <w:t xml:space="preserve"> </w:t>
      </w:r>
    </w:p>
    <w:tbl>
      <w:tblPr>
        <w:tblW w:w="5740" w:type="dxa"/>
        <w:tblInd w:w="2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546"/>
        <w:gridCol w:w="546"/>
        <w:gridCol w:w="677"/>
        <w:gridCol w:w="546"/>
        <w:gridCol w:w="546"/>
        <w:gridCol w:w="546"/>
        <w:gridCol w:w="546"/>
        <w:gridCol w:w="546"/>
      </w:tblGrid>
      <w:tr w:rsidR="009A0D3A" w:rsidRPr="009A0D3A" w:rsidTr="009A0D3A">
        <w:trPr>
          <w:trHeight w:val="315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9A0D3A" w:rsidRPr="009A0D3A" w:rsidTr="009A0D3A">
        <w:trPr>
          <w:trHeight w:val="301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731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781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784</w:t>
            </w:r>
          </w:p>
        </w:tc>
      </w:tr>
      <w:tr w:rsidR="009A0D3A" w:rsidRPr="009A0D3A" w:rsidTr="009A0D3A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731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781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D3A" w:rsidRPr="009A0D3A" w:rsidRDefault="009A0D3A" w:rsidP="009A0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A0D3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784</w:t>
            </w:r>
          </w:p>
        </w:tc>
      </w:tr>
    </w:tbl>
    <w:p w:rsidR="00171072" w:rsidRPr="00F90D41" w:rsidRDefault="009A0D3A" w:rsidP="009A0D3A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  </w:t>
      </w:r>
      <w:r w:rsidR="00A0576A">
        <w:rPr>
          <w:rFonts w:eastAsia="Calibri" w:cs="Arial"/>
          <w:lang w:eastAsia="en-US"/>
        </w:rPr>
        <w:t xml:space="preserve"> </w:t>
      </w:r>
      <w:r w:rsidR="00880A82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2018.</w:t>
      </w:r>
    </w:p>
    <w:p w:rsidR="009A0D3A" w:rsidRDefault="009A0D3A" w:rsidP="009F7D5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9F7D53" w:rsidRDefault="00171072" w:rsidP="009F7D5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9A1D13">
        <w:rPr>
          <w:rFonts w:eastAsia="Calibri" w:cs="Arial"/>
          <w:iCs/>
          <w:color w:val="000000"/>
          <w:lang w:eastAsia="en-US"/>
        </w:rPr>
        <w:t>ón se concentra en el rango de 0 a 29 años significando el 61.69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9A1D13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9A1D13">
        <w:rPr>
          <w:rFonts w:eastAsia="Calibri" w:cs="Arial"/>
          <w:iCs/>
          <w:color w:val="000000"/>
          <w:lang w:eastAsia="en-US"/>
        </w:rPr>
        <w:t>edominante y representa el 33.24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9A1D13">
        <w:rPr>
          <w:rFonts w:eastAsia="Calibri" w:cs="Arial"/>
          <w:iCs/>
          <w:color w:val="000000"/>
          <w:lang w:eastAsia="en-US"/>
        </w:rPr>
        <w:t>a mas solo   constituye el 5.1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171072" w:rsidRDefault="00171072" w:rsidP="009F7D53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480" w:type="dxa"/>
        <w:tblInd w:w="3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9A1D13" w:rsidRPr="009A1D13" w:rsidTr="009A1D13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F7D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del Centro Poblado de </w:t>
            </w:r>
            <w:proofErr w:type="spellStart"/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Rocchac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</w:t>
            </w:r>
            <w:proofErr w:type="spellEnd"/>
          </w:p>
        </w:tc>
      </w:tr>
      <w:tr w:rsidR="009A1D13" w:rsidRPr="009A1D13" w:rsidTr="00880A82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9A1D13" w:rsidRPr="009A1D13" w:rsidTr="00880A82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91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85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118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79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58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49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9A1D13" w:rsidRPr="009A1D13" w:rsidTr="009A1D13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A1D13" w:rsidRPr="009A1D13" w:rsidTr="00880A82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9A1D13" w:rsidRPr="009A1D13" w:rsidRDefault="009A1D13" w:rsidP="009F7D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A1D13" w:rsidRPr="009A1D13" w:rsidRDefault="009A1D13" w:rsidP="009A1D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A1D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731</w:t>
            </w:r>
          </w:p>
        </w:tc>
      </w:tr>
    </w:tbl>
    <w:p w:rsidR="00171072" w:rsidRPr="00F90D41" w:rsidRDefault="00171072" w:rsidP="009F7D53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</w:t>
      </w:r>
      <w:r w:rsidRPr="00F90D41">
        <w:rPr>
          <w:rFonts w:cs="Arial"/>
          <w:snapToGrid w:val="0"/>
        </w:rPr>
        <w:t>Fuente</w:t>
      </w:r>
      <w:r w:rsidR="009F7D53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622920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171072" w:rsidRDefault="00171072" w:rsidP="009F7D53">
      <w:pPr>
        <w:pStyle w:val="Prrafodelista"/>
        <w:widowControl w:val="0"/>
        <w:spacing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9F7D53" w:rsidRPr="00F90D41" w:rsidRDefault="009F7D53" w:rsidP="009F7D53">
      <w:pPr>
        <w:pStyle w:val="Prrafodelista"/>
        <w:widowControl w:val="0"/>
        <w:spacing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</w:p>
    <w:p w:rsidR="009F7D53" w:rsidRDefault="00171072" w:rsidP="009A0D3A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Pr="00C845B3">
        <w:rPr>
          <w:rFonts w:eastAsia="Calibri" w:cs="Arial"/>
          <w:iCs/>
          <w:noProof/>
          <w:color w:val="000000"/>
          <w:lang w:eastAsia="en-US"/>
        </w:rPr>
        <w:t>Rocchacc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44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171.5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9F7D53" w:rsidRDefault="009F7D53" w:rsidP="009F7D53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9A0D3A" w:rsidRDefault="009A0D3A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171072" w:rsidRDefault="00B26733" w:rsidP="009A0D3A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</w:t>
      </w:r>
      <w:r w:rsidR="00171072" w:rsidRPr="00F90D41">
        <w:rPr>
          <w:rFonts w:eastAsia="Calibri" w:cs="Arial"/>
          <w:b/>
          <w:lang w:eastAsia="en-US"/>
        </w:rPr>
        <w:t>Cuadro Nº 05</w:t>
      </w:r>
    </w:p>
    <w:tbl>
      <w:tblPr>
        <w:tblpPr w:leftFromText="141" w:rightFromText="141" w:vertAnchor="text" w:horzAnchor="margin" w:tblpXSpec="right" w:tblpY="87"/>
        <w:tblW w:w="79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4"/>
        <w:gridCol w:w="1111"/>
        <w:gridCol w:w="789"/>
        <w:gridCol w:w="720"/>
        <w:gridCol w:w="791"/>
        <w:gridCol w:w="640"/>
        <w:gridCol w:w="790"/>
        <w:gridCol w:w="690"/>
        <w:gridCol w:w="813"/>
      </w:tblGrid>
      <w:tr w:rsidR="009A0D3A" w:rsidRPr="00FB2141" w:rsidTr="00880A82">
        <w:trPr>
          <w:trHeight w:val="324"/>
        </w:trPr>
        <w:tc>
          <w:tcPr>
            <w:tcW w:w="79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Indicadores de desarrollo humano del distrito de Ongoy</w:t>
            </w:r>
          </w:p>
        </w:tc>
      </w:tr>
      <w:tr w:rsidR="009A0D3A" w:rsidRPr="00FB2141" w:rsidTr="00880A82">
        <w:trPr>
          <w:trHeight w:val="497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9A0D3A" w:rsidRPr="00FB2141" w:rsidTr="00880A82">
        <w:trPr>
          <w:trHeight w:val="9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880A82" w:rsidRPr="00FB2141" w:rsidTr="00880A82">
        <w:trPr>
          <w:trHeight w:val="349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9A0D3A" w:rsidRPr="00FB2141" w:rsidTr="00880A82">
        <w:trPr>
          <w:trHeight w:val="9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9A0D3A" w:rsidRPr="00FB2141" w:rsidTr="00880A82">
        <w:trPr>
          <w:trHeight w:val="9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9A0D3A" w:rsidRPr="00FB2141" w:rsidTr="00880A82">
        <w:trPr>
          <w:trHeight w:val="31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9A0D3A" w:rsidRPr="00FB2141" w:rsidTr="00880A82">
        <w:trPr>
          <w:trHeight w:val="324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rPr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3A" w:rsidRPr="00FB2141" w:rsidRDefault="009A0D3A" w:rsidP="009A0D3A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</w:t>
      </w: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9F7D53" w:rsidRDefault="009F7D53" w:rsidP="009A0D3A">
      <w:pPr>
        <w:spacing w:after="0" w:line="240" w:lineRule="auto"/>
        <w:contextualSpacing/>
        <w:rPr>
          <w:rFonts w:cs="Arial"/>
          <w:snapToGrid w:val="0"/>
        </w:rPr>
      </w:pPr>
    </w:p>
    <w:p w:rsidR="00880A82" w:rsidRDefault="00B26733" w:rsidP="009A0D3A">
      <w:pPr>
        <w:spacing w:after="0" w:line="240" w:lineRule="auto"/>
        <w:ind w:left="1134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</w:p>
    <w:p w:rsidR="00171072" w:rsidRPr="00F90D41" w:rsidRDefault="00B26733" w:rsidP="009A0D3A">
      <w:pPr>
        <w:spacing w:after="0" w:line="240" w:lineRule="auto"/>
        <w:ind w:left="1134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9A0D3A">
        <w:rPr>
          <w:rFonts w:cs="Arial"/>
          <w:snapToGrid w:val="0"/>
        </w:rPr>
        <w:t xml:space="preserve"> </w:t>
      </w:r>
      <w:r w:rsidR="00171072" w:rsidRPr="00F90D41">
        <w:rPr>
          <w:rFonts w:cs="Arial"/>
          <w:snapToGrid w:val="0"/>
        </w:rPr>
        <w:t>Fu</w:t>
      </w:r>
      <w:r w:rsidR="009F7D53">
        <w:rPr>
          <w:rFonts w:cs="Arial"/>
          <w:snapToGrid w:val="0"/>
        </w:rPr>
        <w:t xml:space="preserve">ente: </w:t>
      </w:r>
      <w:r w:rsidR="00171072" w:rsidRPr="00F90D41">
        <w:rPr>
          <w:rFonts w:cs="Arial"/>
          <w:snapToGrid w:val="0"/>
        </w:rPr>
        <w:t>Unidad de Informe sobre Desarrollo Humano, Perú – 2009</w:t>
      </w:r>
      <w:r w:rsidR="009F7D53">
        <w:rPr>
          <w:rFonts w:cs="Arial"/>
          <w:snapToGrid w:val="0"/>
        </w:rPr>
        <w:t>.</w:t>
      </w:r>
    </w:p>
    <w:p w:rsidR="009A0D3A" w:rsidRDefault="009A0D3A" w:rsidP="00B26733">
      <w:pPr>
        <w:spacing w:after="120"/>
        <w:ind w:left="1701"/>
        <w:jc w:val="both"/>
        <w:rPr>
          <w:rFonts w:cs="Arial"/>
          <w:b/>
          <w:snapToGrid w:val="0"/>
        </w:rPr>
      </w:pPr>
    </w:p>
    <w:p w:rsidR="00171072" w:rsidRPr="00F90D41" w:rsidRDefault="00171072" w:rsidP="00B26733">
      <w:pPr>
        <w:spacing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171072" w:rsidRPr="00D8175F" w:rsidRDefault="00171072" w:rsidP="00B26733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Rocchacc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32025F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9E4FA6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32025F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45</w:t>
      </w:r>
      <w:r w:rsidR="0032025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187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B26733">
        <w:rPr>
          <w:rFonts w:eastAsia="Calibri" w:cs="Arial"/>
          <w:iCs/>
          <w:noProof/>
          <w:color w:val="000000"/>
          <w:lang w:eastAsia="en-US"/>
        </w:rPr>
        <w:t>175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171072" w:rsidRPr="00D8175F" w:rsidRDefault="00171072" w:rsidP="00B26733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2025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13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B26733">
        <w:rPr>
          <w:rFonts w:eastAsia="Calibri" w:cs="Arial"/>
          <w:iCs/>
          <w:noProof/>
          <w:color w:val="000000"/>
          <w:lang w:eastAsia="en-US"/>
        </w:rPr>
        <w:t>23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171072" w:rsidRPr="00F90D41" w:rsidRDefault="00514E53" w:rsidP="00514E53">
      <w:pPr>
        <w:autoSpaceDE w:val="0"/>
        <w:autoSpaceDN w:val="0"/>
        <w:adjustRightInd w:val="0"/>
        <w:spacing w:after="0" w:line="240" w:lineRule="auto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  </w:t>
      </w:r>
      <w:r w:rsidR="00171072" w:rsidRPr="00F90D41">
        <w:rPr>
          <w:rFonts w:cs="Arial"/>
          <w:b/>
          <w:snapToGrid w:val="0"/>
        </w:rPr>
        <w:t>Cuadro Nº 06</w:t>
      </w:r>
    </w:p>
    <w:p w:rsidR="00171072" w:rsidRPr="00F90D41" w:rsidRDefault="00171072" w:rsidP="00B26733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</w:t>
      </w:r>
      <w:r w:rsidR="00CC150B">
        <w:rPr>
          <w:rFonts w:cs="Arial"/>
          <w:b/>
          <w:snapToGrid w:val="0"/>
        </w:rPr>
        <w:t xml:space="preserve">rvicio educativo en el centro poblado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Rocchacc</w:t>
      </w:r>
    </w:p>
    <w:tbl>
      <w:tblPr>
        <w:tblW w:w="0" w:type="auto"/>
        <w:tblInd w:w="2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337"/>
        <w:gridCol w:w="1208"/>
        <w:gridCol w:w="1244"/>
      </w:tblGrid>
      <w:tr w:rsidR="00171072" w:rsidRPr="00514E53" w:rsidTr="00880A82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514E53" w:rsidRDefault="00171072" w:rsidP="00B26733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514E53" w:rsidRDefault="009A0D3A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514E53" w:rsidRDefault="009A0D3A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PE"/>
              </w:rPr>
              <w:t>Docentes 2018</w:t>
            </w:r>
          </w:p>
        </w:tc>
      </w:tr>
      <w:tr w:rsidR="00171072" w:rsidRPr="00514E53" w:rsidTr="00514E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rPr>
                <w:rFonts w:cs="Arial"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Cs/>
                <w:color w:val="000000"/>
                <w:sz w:val="18"/>
                <w:szCs w:val="18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noProof/>
                <w:color w:val="000000"/>
                <w:sz w:val="18"/>
                <w:szCs w:val="18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</w:tr>
      <w:tr w:rsidR="00171072" w:rsidRPr="00514E53" w:rsidTr="00514E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rPr>
                <w:rFonts w:cs="Arial"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Cs/>
                <w:color w:val="000000"/>
                <w:sz w:val="18"/>
                <w:szCs w:val="18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</w:tr>
      <w:tr w:rsidR="00171072" w:rsidRPr="00514E53" w:rsidTr="00514E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rPr>
                <w:rFonts w:cs="Arial"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Cs/>
                <w:color w:val="000000"/>
                <w:sz w:val="18"/>
                <w:szCs w:val="18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514E53" w:rsidRDefault="009A0D3A" w:rsidP="00B26733">
            <w:pPr>
              <w:spacing w:after="0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 xml:space="preserve">          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514E53" w:rsidRDefault="009A0D3A" w:rsidP="00B26733">
            <w:pPr>
              <w:spacing w:after="0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8"/>
                <w:szCs w:val="18"/>
                <w:lang w:val="es-PE" w:eastAsia="es-PE"/>
              </w:rPr>
              <w:t xml:space="preserve">            23</w:t>
            </w:r>
          </w:p>
        </w:tc>
      </w:tr>
      <w:tr w:rsidR="00171072" w:rsidRPr="00514E53" w:rsidTr="00880A82">
        <w:trPr>
          <w:trHeight w:val="1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514E53" w:rsidRDefault="00171072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514E53" w:rsidRDefault="003079AD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14E53"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514E53" w:rsidRDefault="00B26733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514E53" w:rsidRDefault="009A0D3A" w:rsidP="00B2673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  <w:t>37</w:t>
            </w:r>
          </w:p>
        </w:tc>
      </w:tr>
    </w:tbl>
    <w:p w:rsidR="00171072" w:rsidRPr="00B26733" w:rsidRDefault="00B26733" w:rsidP="00B26733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  <w:sz w:val="20"/>
          <w:szCs w:val="20"/>
        </w:rPr>
        <w:t xml:space="preserve">                   </w:t>
      </w:r>
      <w:r w:rsidR="00171072" w:rsidRPr="00B26733">
        <w:rPr>
          <w:rFonts w:cs="Arial"/>
          <w:snapToGrid w:val="0"/>
          <w:sz w:val="20"/>
          <w:szCs w:val="20"/>
        </w:rPr>
        <w:t xml:space="preserve">Fuente: elaboración propia en base datos  </w:t>
      </w:r>
      <w:r w:rsidR="00171072" w:rsidRPr="00B26733">
        <w:rPr>
          <w:rFonts w:cs="Arial"/>
          <w:noProof/>
          <w:snapToGrid w:val="0"/>
          <w:sz w:val="20"/>
          <w:szCs w:val="20"/>
        </w:rPr>
        <w:t>Rocchacc</w:t>
      </w:r>
      <w:r w:rsidR="00171072" w:rsidRPr="00B26733">
        <w:rPr>
          <w:rFonts w:cs="Arial"/>
          <w:snapToGrid w:val="0"/>
          <w:sz w:val="20"/>
          <w:szCs w:val="20"/>
        </w:rPr>
        <w:t xml:space="preserve"> </w:t>
      </w:r>
      <w:r w:rsidR="009F7D53" w:rsidRPr="00B26733">
        <w:rPr>
          <w:rFonts w:cs="Arial"/>
          <w:snapToGrid w:val="0"/>
          <w:sz w:val="20"/>
          <w:szCs w:val="20"/>
        </w:rPr>
        <w:t>–</w:t>
      </w:r>
      <w:r w:rsidR="00171072" w:rsidRPr="00B26733">
        <w:rPr>
          <w:rFonts w:cs="Arial"/>
          <w:snapToGrid w:val="0"/>
          <w:sz w:val="20"/>
          <w:szCs w:val="20"/>
        </w:rPr>
        <w:t>Escale</w:t>
      </w:r>
      <w:r>
        <w:rPr>
          <w:rFonts w:cs="Arial"/>
          <w:snapToGrid w:val="0"/>
          <w:sz w:val="20"/>
          <w:szCs w:val="20"/>
        </w:rPr>
        <w:t>, 2018</w:t>
      </w:r>
    </w:p>
    <w:p w:rsidR="00171072" w:rsidRPr="00F90D41" w:rsidRDefault="00171072" w:rsidP="00171072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171072" w:rsidRDefault="00171072" w:rsidP="009F7D53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</w:t>
      </w:r>
      <w:r w:rsidR="00EA202D">
        <w:rPr>
          <w:rFonts w:eastAsia="Calibri" w:cs="Arial"/>
          <w:b/>
          <w:lang w:eastAsia="en-US"/>
        </w:rPr>
        <w:t xml:space="preserve">           </w:t>
      </w:r>
      <w:r>
        <w:rPr>
          <w:rFonts w:eastAsia="Calibri" w:cs="Arial"/>
          <w:b/>
          <w:lang w:eastAsia="en-US"/>
        </w:rPr>
        <w:t xml:space="preserve">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pPr w:leftFromText="141" w:rightFromText="141" w:vertAnchor="text" w:horzAnchor="page" w:tblpX="3713" w:tblpY="13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B26733" w:rsidRPr="00514E53" w:rsidTr="00B26733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B26733" w:rsidRPr="00514E53" w:rsidTr="00880A82">
        <w:trPr>
          <w:trHeight w:val="30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B26733" w:rsidRPr="00514E53" w:rsidTr="00880A82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B26733" w:rsidRPr="00514E53" w:rsidTr="00B26733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B26733" w:rsidRPr="00514E53" w:rsidTr="00B26733">
        <w:trPr>
          <w:trHeight w:val="12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B26733" w:rsidRPr="00514E53" w:rsidTr="00B26733">
        <w:trPr>
          <w:trHeight w:val="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B26733" w:rsidRPr="00514E53" w:rsidTr="00B26733">
        <w:trPr>
          <w:trHeight w:val="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514E5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733" w:rsidRPr="00514E53" w:rsidRDefault="00B26733" w:rsidP="00B26733">
            <w:pPr>
              <w:spacing w:after="0"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14E53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514E53" w:rsidRDefault="00514E53" w:rsidP="00B26733">
      <w:pPr>
        <w:spacing w:after="0" w:line="240" w:lineRule="auto"/>
        <w:contextualSpacing/>
        <w:jc w:val="both"/>
        <w:rPr>
          <w:rFonts w:eastAsia="Calibri" w:cs="Arial"/>
          <w:b/>
          <w:lang w:eastAsia="en-US"/>
        </w:rPr>
      </w:pPr>
    </w:p>
    <w:p w:rsidR="00514E53" w:rsidRDefault="00514E53" w:rsidP="00B26733">
      <w:pPr>
        <w:spacing w:after="0" w:line="240" w:lineRule="auto"/>
        <w:contextualSpacing/>
        <w:jc w:val="both"/>
        <w:rPr>
          <w:rFonts w:eastAsia="Calibri" w:cs="Arial"/>
          <w:b/>
          <w:lang w:eastAsia="en-US"/>
        </w:rPr>
      </w:pPr>
    </w:p>
    <w:p w:rsidR="00B26733" w:rsidRDefault="00514E53" w:rsidP="00B26733">
      <w:pPr>
        <w:spacing w:after="0" w:line="240" w:lineRule="auto"/>
        <w:contextualSpacing/>
        <w:jc w:val="both"/>
        <w:rPr>
          <w:rFonts w:cs="Arial"/>
          <w:snapToGrid w:val="0"/>
        </w:rPr>
      </w:pPr>
      <w:r>
        <w:rPr>
          <w:rFonts w:eastAsia="Calibri" w:cs="Arial"/>
          <w:b/>
          <w:lang w:eastAsia="en-US"/>
        </w:rPr>
        <w:t xml:space="preserve">                                         </w:t>
      </w:r>
      <w:r w:rsidR="00E329AB">
        <w:rPr>
          <w:rFonts w:cs="Arial"/>
          <w:snapToGrid w:val="0"/>
        </w:rPr>
        <w:t xml:space="preserve">    </w:t>
      </w:r>
    </w:p>
    <w:p w:rsidR="00B26733" w:rsidRDefault="00B26733" w:rsidP="00B26733">
      <w:pPr>
        <w:spacing w:after="0" w:line="240" w:lineRule="auto"/>
        <w:contextualSpacing/>
        <w:jc w:val="both"/>
        <w:rPr>
          <w:rFonts w:cs="Arial"/>
          <w:snapToGrid w:val="0"/>
        </w:rPr>
      </w:pPr>
    </w:p>
    <w:p w:rsidR="00B26733" w:rsidRDefault="00B26733" w:rsidP="00B26733">
      <w:pPr>
        <w:spacing w:after="0" w:line="240" w:lineRule="auto"/>
        <w:contextualSpacing/>
        <w:jc w:val="both"/>
        <w:rPr>
          <w:rFonts w:cs="Arial"/>
          <w:snapToGrid w:val="0"/>
        </w:rPr>
      </w:pPr>
    </w:p>
    <w:p w:rsidR="00B26733" w:rsidRDefault="00B26733" w:rsidP="00B26733">
      <w:pPr>
        <w:spacing w:after="0" w:line="240" w:lineRule="auto"/>
        <w:contextualSpacing/>
        <w:jc w:val="both"/>
        <w:rPr>
          <w:rFonts w:cs="Arial"/>
          <w:snapToGrid w:val="0"/>
        </w:rPr>
      </w:pPr>
    </w:p>
    <w:p w:rsidR="00B26733" w:rsidRDefault="00B26733" w:rsidP="00B26733">
      <w:pPr>
        <w:spacing w:after="0" w:line="240" w:lineRule="auto"/>
        <w:contextualSpacing/>
        <w:jc w:val="both"/>
        <w:rPr>
          <w:rFonts w:cs="Arial"/>
          <w:snapToGrid w:val="0"/>
        </w:rPr>
      </w:pPr>
    </w:p>
    <w:p w:rsidR="00B26733" w:rsidRDefault="00B26733" w:rsidP="00B26733">
      <w:pPr>
        <w:spacing w:after="0" w:line="240" w:lineRule="auto"/>
        <w:contextualSpacing/>
        <w:jc w:val="both"/>
        <w:rPr>
          <w:rFonts w:cs="Arial"/>
          <w:snapToGrid w:val="0"/>
        </w:rPr>
      </w:pPr>
    </w:p>
    <w:p w:rsidR="00171072" w:rsidRPr="00F90D41" w:rsidRDefault="00B26733" w:rsidP="00B26733">
      <w:pPr>
        <w:spacing w:after="0" w:line="240" w:lineRule="auto"/>
        <w:ind w:left="709" w:firstLine="709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171072" w:rsidRPr="00F90D41">
        <w:rPr>
          <w:rFonts w:cs="Arial"/>
          <w:snapToGrid w:val="0"/>
        </w:rPr>
        <w:t>Fuente: Unidad de Informe sobre Desarrollo Humano, Perú – 2009</w:t>
      </w:r>
    </w:p>
    <w:p w:rsidR="00EA202D" w:rsidRDefault="00EA202D" w:rsidP="00E329AB">
      <w:pPr>
        <w:spacing w:before="120" w:after="0" w:line="240" w:lineRule="auto"/>
        <w:ind w:left="1701"/>
        <w:jc w:val="both"/>
        <w:rPr>
          <w:rFonts w:cs="Arial"/>
          <w:b/>
          <w:snapToGrid w:val="0"/>
        </w:rPr>
      </w:pP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Rocchacc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171072" w:rsidRPr="00F90D41" w:rsidRDefault="00171072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171072" w:rsidRPr="00F90D41" w:rsidRDefault="00171072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Rocchacc</w:t>
      </w:r>
    </w:p>
    <w:tbl>
      <w:tblPr>
        <w:tblW w:w="669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2832"/>
        <w:gridCol w:w="3217"/>
      </w:tblGrid>
      <w:tr w:rsidR="00171072" w:rsidRPr="00F90D41" w:rsidTr="00880A82">
        <w:trPr>
          <w:trHeight w:val="302"/>
        </w:trPr>
        <w:tc>
          <w:tcPr>
            <w:tcW w:w="650" w:type="dxa"/>
            <w:shd w:val="clear" w:color="auto" w:fill="FBD4B4" w:themeFill="accent6" w:themeFillTint="66"/>
            <w:hideMark/>
          </w:tcPr>
          <w:p w:rsidR="00171072" w:rsidRPr="00F90D41" w:rsidRDefault="00171072" w:rsidP="00EA202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832" w:type="dxa"/>
            <w:shd w:val="clear" w:color="auto" w:fill="FBD4B4" w:themeFill="accent6" w:themeFillTint="66"/>
            <w:hideMark/>
          </w:tcPr>
          <w:p w:rsidR="00171072" w:rsidRPr="00F90D41" w:rsidRDefault="00171072" w:rsidP="00EA202D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3217" w:type="dxa"/>
            <w:shd w:val="clear" w:color="auto" w:fill="FBD4B4" w:themeFill="accent6" w:themeFillTint="66"/>
            <w:hideMark/>
          </w:tcPr>
          <w:p w:rsidR="00171072" w:rsidRPr="00F90D41" w:rsidRDefault="00171072" w:rsidP="00EA202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171072" w:rsidRPr="00F90D41" w:rsidTr="00EA202D">
        <w:trPr>
          <w:trHeight w:val="288"/>
        </w:trPr>
        <w:tc>
          <w:tcPr>
            <w:tcW w:w="650" w:type="dxa"/>
            <w:shd w:val="clear" w:color="auto" w:fill="auto"/>
            <w:hideMark/>
          </w:tcPr>
          <w:p w:rsidR="00171072" w:rsidRPr="00F90D41" w:rsidRDefault="00171072" w:rsidP="00EA202D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832" w:type="dxa"/>
            <w:shd w:val="clear" w:color="auto" w:fill="auto"/>
          </w:tcPr>
          <w:p w:rsidR="00171072" w:rsidRPr="00F90D41" w:rsidRDefault="00171072" w:rsidP="00EA202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Víctor Raúl Haya de La Torre</w:t>
            </w:r>
          </w:p>
        </w:tc>
        <w:tc>
          <w:tcPr>
            <w:tcW w:w="3217" w:type="dxa"/>
            <w:shd w:val="clear" w:color="auto" w:fill="auto"/>
            <w:noWrap/>
          </w:tcPr>
          <w:p w:rsidR="00171072" w:rsidRPr="00F90D41" w:rsidRDefault="00171072" w:rsidP="00EA20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1205996</w:t>
            </w:r>
          </w:p>
        </w:tc>
      </w:tr>
    </w:tbl>
    <w:p w:rsidR="00171072" w:rsidRDefault="00171072" w:rsidP="00171072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EA202D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B26733">
        <w:rPr>
          <w:rFonts w:cs="Arial"/>
          <w:snapToGrid w:val="0"/>
        </w:rPr>
        <w:t>, 2018</w:t>
      </w:r>
      <w:r w:rsidR="00E329AB">
        <w:rPr>
          <w:rFonts w:cs="Arial"/>
          <w:snapToGrid w:val="0"/>
        </w:rPr>
        <w:t>.</w:t>
      </w:r>
    </w:p>
    <w:p w:rsidR="00EA202D" w:rsidRPr="00F90D41" w:rsidRDefault="00EA202D" w:rsidP="00171072">
      <w:pPr>
        <w:ind w:left="708" w:firstLine="708"/>
        <w:contextualSpacing/>
        <w:jc w:val="both"/>
        <w:rPr>
          <w:rFonts w:cs="Arial"/>
          <w:snapToGrid w:val="0"/>
        </w:rPr>
      </w:pPr>
    </w:p>
    <w:p w:rsidR="00171072" w:rsidRPr="00F90D41" w:rsidRDefault="00171072" w:rsidP="0017107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Víctor Raúl Haya de La Torre</w:t>
      </w:r>
      <w:r w:rsidR="00CC150B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Rocchacc</w:t>
      </w:r>
      <w:r w:rsidR="00EA202D">
        <w:rPr>
          <w:rFonts w:cs="Arial"/>
          <w:b/>
          <w:noProof/>
          <w:snapToGrid w:val="0"/>
        </w:rPr>
        <w:t>.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Víctor Raúl Haya de La Torre</w:t>
      </w:r>
      <w:r w:rsidR="00E76EC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Rocchacc</w:t>
      </w:r>
      <w:r w:rsidRPr="00F90D41">
        <w:rPr>
          <w:rFonts w:cs="Arial"/>
          <w:snapToGrid w:val="0"/>
        </w:rPr>
        <w:t xml:space="preserve">  </w:t>
      </w:r>
      <w:r w:rsidR="00E76EC7">
        <w:rPr>
          <w:rFonts w:cs="Arial"/>
          <w:snapToGrid w:val="0"/>
        </w:rPr>
        <w:t xml:space="preserve">experimenta  tendencia decreciente de </w:t>
      </w:r>
      <w:r w:rsidR="00B26733">
        <w:rPr>
          <w:rFonts w:cs="Arial"/>
          <w:snapToGrid w:val="0"/>
        </w:rPr>
        <w:t>203</w:t>
      </w:r>
      <w:r>
        <w:rPr>
          <w:rFonts w:cs="Arial"/>
          <w:snapToGrid w:val="0"/>
        </w:rPr>
        <w:t xml:space="preserve"> alumnos en el </w:t>
      </w:r>
      <w:r w:rsidR="00B26733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E76EC7">
        <w:rPr>
          <w:rFonts w:cs="Arial"/>
          <w:snapToGrid w:val="0"/>
        </w:rPr>
        <w:t xml:space="preserve">descendido a </w:t>
      </w:r>
      <w:r w:rsidR="00B26733">
        <w:rPr>
          <w:rFonts w:cs="Arial"/>
          <w:snapToGrid w:val="0"/>
        </w:rPr>
        <w:t>211</w:t>
      </w:r>
      <w:r>
        <w:rPr>
          <w:rFonts w:cs="Arial"/>
          <w:snapToGrid w:val="0"/>
        </w:rPr>
        <w:t xml:space="preserve"> en el año </w:t>
      </w:r>
      <w:r w:rsidR="00B26733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el mayor descenso </w:t>
      </w:r>
      <w:r w:rsidR="00E76EC7">
        <w:rPr>
          <w:rFonts w:cs="Arial"/>
          <w:snapToGrid w:val="0"/>
        </w:rPr>
        <w:t xml:space="preserve">a </w:t>
      </w:r>
      <w:r w:rsidR="00B26733">
        <w:rPr>
          <w:rFonts w:cs="Arial"/>
          <w:snapToGrid w:val="0"/>
        </w:rPr>
        <w:t>203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 xml:space="preserve">en el </w:t>
      </w:r>
      <w:r w:rsidR="00B26733">
        <w:rPr>
          <w:rFonts w:cs="Arial"/>
          <w:snapToGrid w:val="0"/>
        </w:rPr>
        <w:t>2016 , para el 2017</w:t>
      </w:r>
      <w:r w:rsidR="00E76EC7">
        <w:rPr>
          <w:rFonts w:cs="Arial"/>
          <w:snapToGrid w:val="0"/>
        </w:rPr>
        <w:t xml:space="preserve"> alcanza los </w:t>
      </w:r>
      <w:r w:rsidR="00B26733">
        <w:rPr>
          <w:rFonts w:cs="Arial"/>
          <w:snapToGrid w:val="0"/>
        </w:rPr>
        <w:t>180</w:t>
      </w:r>
      <w:r>
        <w:rPr>
          <w:rFonts w:cs="Arial"/>
          <w:snapToGrid w:val="0"/>
        </w:rPr>
        <w:t xml:space="preserve"> alumnos y este año la población escolar a </w:t>
      </w:r>
      <w:r w:rsidR="00B26733">
        <w:rPr>
          <w:rFonts w:cs="Arial"/>
          <w:snapToGrid w:val="0"/>
        </w:rPr>
        <w:t>175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171072" w:rsidRDefault="00171072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Pr="00F90D41">
        <w:rPr>
          <w:rFonts w:cs="Arial"/>
          <w:b/>
          <w:snapToGrid w:val="0"/>
        </w:rPr>
        <w:t>Cuadro Nº 09</w:t>
      </w:r>
    </w:p>
    <w:p w:rsidR="00EA202D" w:rsidRDefault="00171072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EA202D">
        <w:rPr>
          <w:rFonts w:cs="Arial"/>
          <w:b/>
          <w:snapToGrid w:val="0"/>
        </w:rPr>
        <w:t xml:space="preserve"> Víctor Raúl Haya de la Torre</w:t>
      </w:r>
      <w:r>
        <w:rPr>
          <w:rFonts w:cs="Arial"/>
          <w:b/>
          <w:snapToGrid w:val="0"/>
        </w:rPr>
        <w:t xml:space="preserve"> </w:t>
      </w:r>
    </w:p>
    <w:tbl>
      <w:tblPr>
        <w:tblW w:w="7029" w:type="dxa"/>
        <w:tblInd w:w="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00"/>
        <w:gridCol w:w="653"/>
        <w:gridCol w:w="666"/>
        <w:gridCol w:w="681"/>
        <w:gridCol w:w="836"/>
        <w:gridCol w:w="836"/>
        <w:gridCol w:w="681"/>
      </w:tblGrid>
      <w:tr w:rsidR="00EA202D" w:rsidRPr="00EA202D" w:rsidTr="00880A82">
        <w:trPr>
          <w:trHeight w:val="255"/>
        </w:trPr>
        <w:tc>
          <w:tcPr>
            <w:tcW w:w="1276" w:type="dxa"/>
            <w:vMerge w:val="restart"/>
            <w:shd w:val="clear" w:color="auto" w:fill="FBD4B4" w:themeFill="accent6" w:themeFillTint="66"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400" w:type="dxa"/>
            <w:vMerge w:val="restart"/>
            <w:shd w:val="clear" w:color="auto" w:fill="FBD4B4" w:themeFill="accent6" w:themeFillTint="66"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BD4B4" w:themeFill="accent6" w:themeFillTint="66"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EA202D" w:rsidRPr="00EA202D" w:rsidTr="00880A82">
        <w:trPr>
          <w:trHeight w:val="255"/>
        </w:trPr>
        <w:tc>
          <w:tcPr>
            <w:tcW w:w="1276" w:type="dxa"/>
            <w:vMerge/>
            <w:shd w:val="clear" w:color="auto" w:fill="FBD4B4" w:themeFill="accent6" w:themeFillTint="66"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00" w:type="dxa"/>
            <w:vMerge/>
            <w:shd w:val="clear" w:color="auto" w:fill="FBD4B4" w:themeFill="accent6" w:themeFillTint="66"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BD4B4" w:themeFill="accent6" w:themeFillTint="66"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66" w:type="dxa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81" w:type="dxa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36" w:type="dxa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36" w:type="dxa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81" w:type="dxa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B26733" w:rsidRPr="00EA202D" w:rsidTr="00B26733">
        <w:trPr>
          <w:trHeight w:val="255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1205996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Víctor Raúl Haya de La Torre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681" w:type="dxa"/>
            <w:shd w:val="clear" w:color="auto" w:fill="auto"/>
            <w:noWrap/>
            <w:vAlign w:val="bottom"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</w:tr>
      <w:tr w:rsidR="00B26733" w:rsidRPr="00EA202D" w:rsidTr="00B26733">
        <w:trPr>
          <w:trHeight w:val="300"/>
        </w:trPr>
        <w:tc>
          <w:tcPr>
            <w:tcW w:w="1276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681" w:type="dxa"/>
            <w:shd w:val="clear" w:color="auto" w:fill="auto"/>
            <w:noWrap/>
            <w:vAlign w:val="bottom"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</w:tr>
      <w:tr w:rsidR="00B26733" w:rsidRPr="00EA202D" w:rsidTr="00B26733">
        <w:trPr>
          <w:trHeight w:val="300"/>
        </w:trPr>
        <w:tc>
          <w:tcPr>
            <w:tcW w:w="1276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681" w:type="dxa"/>
            <w:shd w:val="clear" w:color="auto" w:fill="auto"/>
            <w:noWrap/>
            <w:vAlign w:val="bottom"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</w:tr>
      <w:tr w:rsidR="00B26733" w:rsidRPr="00EA202D" w:rsidTr="00B26733">
        <w:trPr>
          <w:trHeight w:val="300"/>
        </w:trPr>
        <w:tc>
          <w:tcPr>
            <w:tcW w:w="1276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681" w:type="dxa"/>
            <w:shd w:val="clear" w:color="auto" w:fill="auto"/>
            <w:noWrap/>
            <w:vAlign w:val="bottom"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</w:tr>
      <w:tr w:rsidR="00B26733" w:rsidRPr="00EA202D" w:rsidTr="00B26733">
        <w:trPr>
          <w:trHeight w:val="300"/>
        </w:trPr>
        <w:tc>
          <w:tcPr>
            <w:tcW w:w="1276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681" w:type="dxa"/>
            <w:shd w:val="clear" w:color="auto" w:fill="auto"/>
            <w:noWrap/>
            <w:vAlign w:val="bottom"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</w:tr>
      <w:tr w:rsidR="00EA202D" w:rsidRPr="00EA202D" w:rsidTr="00880A82">
        <w:trPr>
          <w:trHeight w:val="300"/>
        </w:trPr>
        <w:tc>
          <w:tcPr>
            <w:tcW w:w="1276" w:type="dxa"/>
            <w:vMerge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53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66" w:type="dxa"/>
            <w:shd w:val="clear" w:color="auto" w:fill="FBD4B4" w:themeFill="accent6" w:themeFillTint="66"/>
            <w:noWrap/>
            <w:vAlign w:val="bottom"/>
            <w:hideMark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</w:t>
            </w:r>
          </w:p>
        </w:tc>
        <w:tc>
          <w:tcPr>
            <w:tcW w:w="681" w:type="dxa"/>
            <w:shd w:val="clear" w:color="auto" w:fill="FBD4B4" w:themeFill="accent6" w:themeFillTint="66"/>
            <w:noWrap/>
            <w:vAlign w:val="bottom"/>
            <w:hideMark/>
          </w:tcPr>
          <w:p w:rsidR="00EA202D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211</w:t>
            </w:r>
          </w:p>
        </w:tc>
        <w:tc>
          <w:tcPr>
            <w:tcW w:w="836" w:type="dxa"/>
            <w:shd w:val="clear" w:color="auto" w:fill="FBD4B4" w:themeFill="accent6" w:themeFillTint="66"/>
            <w:noWrap/>
            <w:vAlign w:val="bottom"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</w:t>
            </w:r>
          </w:p>
        </w:tc>
        <w:tc>
          <w:tcPr>
            <w:tcW w:w="836" w:type="dxa"/>
            <w:shd w:val="clear" w:color="auto" w:fill="FBD4B4" w:themeFill="accent6" w:themeFillTint="66"/>
            <w:noWrap/>
            <w:vAlign w:val="bottom"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180</w:t>
            </w:r>
          </w:p>
        </w:tc>
        <w:tc>
          <w:tcPr>
            <w:tcW w:w="681" w:type="dxa"/>
            <w:shd w:val="clear" w:color="auto" w:fill="FBD4B4" w:themeFill="accent6" w:themeFillTint="66"/>
            <w:noWrap/>
            <w:vAlign w:val="bottom"/>
          </w:tcPr>
          <w:p w:rsidR="00EA202D" w:rsidRPr="00EA202D" w:rsidRDefault="00B26733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175</w:t>
            </w:r>
          </w:p>
        </w:tc>
      </w:tr>
      <w:tr w:rsidR="00B26733" w:rsidRPr="00EA202D" w:rsidTr="00880A82">
        <w:trPr>
          <w:trHeight w:val="300"/>
        </w:trPr>
        <w:tc>
          <w:tcPr>
            <w:tcW w:w="1276" w:type="dxa"/>
            <w:vMerge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53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66" w:type="dxa"/>
            <w:shd w:val="clear" w:color="auto" w:fill="FBD4B4" w:themeFill="accent6" w:themeFillTint="66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</w:t>
            </w:r>
          </w:p>
        </w:tc>
        <w:tc>
          <w:tcPr>
            <w:tcW w:w="681" w:type="dxa"/>
            <w:shd w:val="clear" w:color="auto" w:fill="FBD4B4" w:themeFill="accent6" w:themeFillTint="66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211</w:t>
            </w:r>
          </w:p>
        </w:tc>
        <w:tc>
          <w:tcPr>
            <w:tcW w:w="836" w:type="dxa"/>
            <w:shd w:val="clear" w:color="auto" w:fill="FBD4B4" w:themeFill="accent6" w:themeFillTint="66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</w:t>
            </w:r>
          </w:p>
        </w:tc>
        <w:tc>
          <w:tcPr>
            <w:tcW w:w="836" w:type="dxa"/>
            <w:shd w:val="clear" w:color="auto" w:fill="FBD4B4" w:themeFill="accent6" w:themeFillTint="66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180</w:t>
            </w:r>
          </w:p>
        </w:tc>
        <w:tc>
          <w:tcPr>
            <w:tcW w:w="681" w:type="dxa"/>
            <w:shd w:val="clear" w:color="auto" w:fill="FBD4B4" w:themeFill="accent6" w:themeFillTint="66"/>
            <w:noWrap/>
            <w:vAlign w:val="bottom"/>
            <w:hideMark/>
          </w:tcPr>
          <w:p w:rsidR="00B26733" w:rsidRPr="00EA202D" w:rsidRDefault="00B26733" w:rsidP="00B26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175</w:t>
            </w:r>
          </w:p>
        </w:tc>
      </w:tr>
      <w:tr w:rsidR="00EA202D" w:rsidRPr="00EA202D" w:rsidTr="00EA202D">
        <w:trPr>
          <w:trHeight w:val="315"/>
        </w:trPr>
        <w:tc>
          <w:tcPr>
            <w:tcW w:w="1276" w:type="dxa"/>
            <w:vMerge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53" w:type="dxa"/>
            <w:gridSpan w:val="2"/>
            <w:shd w:val="clear" w:color="auto" w:fill="auto"/>
            <w:noWrap/>
            <w:vAlign w:val="center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-0.73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-12.45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-11.72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-3.79</w:t>
            </w:r>
          </w:p>
        </w:tc>
      </w:tr>
    </w:tbl>
    <w:p w:rsidR="00171072" w:rsidRPr="00F90D41" w:rsidRDefault="00EA202D" w:rsidP="00171072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171072">
        <w:rPr>
          <w:rFonts w:cs="Arial"/>
          <w:snapToGrid w:val="0"/>
        </w:rPr>
        <w:t xml:space="preserve"> Fuente: UGEL-Chincheros</w:t>
      </w:r>
      <w:r w:rsidR="00B26733">
        <w:rPr>
          <w:rFonts w:cs="Arial"/>
          <w:snapToGrid w:val="0"/>
        </w:rPr>
        <w:t>, 2018.</w:t>
      </w:r>
    </w:p>
    <w:p w:rsidR="00171072" w:rsidRDefault="00171072" w:rsidP="00171072">
      <w:pPr>
        <w:spacing w:before="120" w:after="120"/>
        <w:ind w:left="1701"/>
        <w:rPr>
          <w:rFonts w:cs="Arial"/>
          <w:b/>
          <w:snapToGrid w:val="0"/>
        </w:rPr>
      </w:pPr>
    </w:p>
    <w:p w:rsidR="00171072" w:rsidRPr="00F90D41" w:rsidRDefault="00171072" w:rsidP="0017107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Víctor Raúl Haya de La Torre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Rocchacc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Víctor Raúl Haya de La Torre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</w:t>
      </w:r>
      <w:r w:rsidR="00AB5097">
        <w:rPr>
          <w:rFonts w:cs="Arial"/>
          <w:snapToGrid w:val="0"/>
        </w:rPr>
        <w:t xml:space="preserve">ido en el año </w:t>
      </w:r>
      <w:r w:rsidR="004C7A92">
        <w:rPr>
          <w:rFonts w:cs="Arial"/>
          <w:snapToGrid w:val="0"/>
        </w:rPr>
        <w:t>2013</w:t>
      </w:r>
      <w:r w:rsidR="00AB5097">
        <w:rPr>
          <w:rFonts w:cs="Arial"/>
          <w:snapToGrid w:val="0"/>
        </w:rPr>
        <w:t xml:space="preserve"> contaba con 19 docentes al </w:t>
      </w:r>
      <w:r w:rsidR="004C7A92">
        <w:rPr>
          <w:rFonts w:cs="Arial"/>
          <w:snapToGrid w:val="0"/>
        </w:rPr>
        <w:t>2015</w:t>
      </w:r>
      <w:r w:rsidR="00AB5097">
        <w:rPr>
          <w:rFonts w:cs="Arial"/>
          <w:snapToGrid w:val="0"/>
        </w:rPr>
        <w:t xml:space="preserve"> desciende a </w:t>
      </w:r>
      <w:r w:rsidR="004C7A92">
        <w:rPr>
          <w:rFonts w:cs="Arial"/>
          <w:snapToGrid w:val="0"/>
        </w:rPr>
        <w:t>19</w:t>
      </w:r>
      <w:r w:rsidR="00AB5097">
        <w:rPr>
          <w:rFonts w:cs="Arial"/>
          <w:snapToGrid w:val="0"/>
        </w:rPr>
        <w:t xml:space="preserve"> docentes y volvió a ascender</w:t>
      </w:r>
      <w:r w:rsidRPr="00F90D41">
        <w:rPr>
          <w:rFonts w:cs="Arial"/>
          <w:snapToGrid w:val="0"/>
        </w:rPr>
        <w:t xml:space="preserve"> al </w:t>
      </w:r>
      <w:r w:rsidR="004C7A92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a </w:t>
      </w:r>
      <w:r w:rsidR="004C7A92">
        <w:rPr>
          <w:rFonts w:cs="Arial"/>
          <w:snapToGrid w:val="0"/>
        </w:rPr>
        <w:t>20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</w:t>
      </w:r>
      <w:r w:rsidR="004C7A92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a  </w:t>
      </w:r>
      <w:r w:rsidR="004C7A92">
        <w:rPr>
          <w:rFonts w:cs="Arial"/>
          <w:snapToGrid w:val="0"/>
        </w:rPr>
        <w:t>23</w:t>
      </w:r>
      <w:r>
        <w:rPr>
          <w:rFonts w:cs="Arial"/>
          <w:snapToGrid w:val="0"/>
        </w:rPr>
        <w:t xml:space="preserve"> docentes cifra que para el </w:t>
      </w:r>
      <w:r w:rsidR="004C7A92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 w:rsidR="004C7A92">
        <w:rPr>
          <w:rFonts w:cs="Arial"/>
          <w:snapToGrid w:val="0"/>
        </w:rPr>
        <w:t>23</w:t>
      </w:r>
      <w:r w:rsidRPr="00F90D41">
        <w:rPr>
          <w:rFonts w:cs="Arial"/>
          <w:snapToGrid w:val="0"/>
        </w:rPr>
        <w:t xml:space="preserve"> docentes., </w:t>
      </w:r>
      <w:r w:rsidR="00AB5097">
        <w:rPr>
          <w:rFonts w:cs="Arial"/>
          <w:snapToGrid w:val="0"/>
        </w:rPr>
        <w:t>esta plana docente atiend</w:t>
      </w:r>
      <w:r>
        <w:rPr>
          <w:rFonts w:cs="Arial"/>
          <w:snapToGrid w:val="0"/>
        </w:rPr>
        <w:t xml:space="preserve">e a </w:t>
      </w:r>
      <w:r w:rsidR="00AB5097">
        <w:rPr>
          <w:rFonts w:cs="Arial"/>
          <w:snapToGrid w:val="0"/>
        </w:rPr>
        <w:t>12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B26733" w:rsidRDefault="00514E53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</w:t>
      </w:r>
    </w:p>
    <w:p w:rsidR="00B26733" w:rsidRDefault="00B26733" w:rsidP="00171072">
      <w:pPr>
        <w:contextualSpacing/>
        <w:jc w:val="center"/>
        <w:rPr>
          <w:rFonts w:cs="Arial"/>
          <w:b/>
          <w:snapToGrid w:val="0"/>
        </w:rPr>
      </w:pPr>
    </w:p>
    <w:p w:rsidR="00B26733" w:rsidRDefault="00B26733" w:rsidP="00171072">
      <w:pPr>
        <w:contextualSpacing/>
        <w:jc w:val="center"/>
        <w:rPr>
          <w:rFonts w:cs="Arial"/>
          <w:b/>
          <w:snapToGrid w:val="0"/>
        </w:rPr>
      </w:pPr>
    </w:p>
    <w:p w:rsidR="00B26733" w:rsidRDefault="00B26733" w:rsidP="00171072">
      <w:pPr>
        <w:contextualSpacing/>
        <w:jc w:val="center"/>
        <w:rPr>
          <w:rFonts w:cs="Arial"/>
          <w:b/>
          <w:snapToGrid w:val="0"/>
        </w:rPr>
      </w:pPr>
    </w:p>
    <w:p w:rsidR="00B26733" w:rsidRDefault="00B26733" w:rsidP="00171072">
      <w:pPr>
        <w:contextualSpacing/>
        <w:jc w:val="center"/>
        <w:rPr>
          <w:rFonts w:cs="Arial"/>
          <w:b/>
          <w:snapToGrid w:val="0"/>
        </w:rPr>
      </w:pPr>
    </w:p>
    <w:p w:rsidR="00171072" w:rsidRPr="00F90D41" w:rsidRDefault="00B26733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</w:t>
      </w:r>
      <w:r w:rsidR="00514E53">
        <w:rPr>
          <w:rFonts w:cs="Arial"/>
          <w:b/>
          <w:snapToGrid w:val="0"/>
        </w:rPr>
        <w:t xml:space="preserve"> </w:t>
      </w:r>
      <w:r w:rsidR="00171072" w:rsidRPr="00F90D41">
        <w:rPr>
          <w:rFonts w:cs="Arial"/>
          <w:b/>
          <w:snapToGrid w:val="0"/>
        </w:rPr>
        <w:t>Cuadro Nº 10</w:t>
      </w:r>
    </w:p>
    <w:p w:rsidR="00EA202D" w:rsidRDefault="00171072" w:rsidP="0017107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E76EC7">
        <w:rPr>
          <w:rFonts w:cs="Arial"/>
          <w:b/>
          <w:snapToGrid w:val="0"/>
        </w:rPr>
        <w:t xml:space="preserve">Población docente </w:t>
      </w:r>
      <w:r>
        <w:rPr>
          <w:rFonts w:cs="Arial"/>
          <w:b/>
          <w:snapToGrid w:val="0"/>
        </w:rPr>
        <w:t xml:space="preserve">de la I.E. del nivel secundario </w:t>
      </w:r>
      <w:r w:rsidR="00E76EC7">
        <w:rPr>
          <w:rFonts w:cs="Arial"/>
          <w:b/>
          <w:snapToGrid w:val="0"/>
        </w:rPr>
        <w:t xml:space="preserve"> Victor Raúl Haya de la Torre</w:t>
      </w:r>
    </w:p>
    <w:tbl>
      <w:tblPr>
        <w:tblW w:w="7277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6"/>
        <w:gridCol w:w="603"/>
        <w:gridCol w:w="603"/>
        <w:gridCol w:w="603"/>
        <w:gridCol w:w="603"/>
        <w:gridCol w:w="603"/>
        <w:gridCol w:w="603"/>
        <w:gridCol w:w="603"/>
      </w:tblGrid>
      <w:tr w:rsidR="00EA202D" w:rsidRPr="00EA202D" w:rsidTr="00880A82">
        <w:trPr>
          <w:trHeight w:val="263"/>
        </w:trPr>
        <w:tc>
          <w:tcPr>
            <w:tcW w:w="305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EA202D" w:rsidRPr="00EA202D" w:rsidTr="00880A82">
        <w:trPr>
          <w:trHeight w:val="263"/>
        </w:trPr>
        <w:tc>
          <w:tcPr>
            <w:tcW w:w="3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A202D" w:rsidRPr="00E329AB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202D" w:rsidRPr="00E329AB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EA202D" w:rsidRPr="00EA202D" w:rsidTr="00E76EC7">
        <w:trPr>
          <w:trHeight w:val="263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Víctor Raúl Haya de La Torre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4C7A92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02D" w:rsidRPr="00EA202D" w:rsidRDefault="00EA202D" w:rsidP="00EA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</w:tr>
      <w:tr w:rsidR="004C7A92" w:rsidRPr="00EA202D" w:rsidTr="00880A82">
        <w:trPr>
          <w:trHeight w:val="278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329AB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329A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C7A92" w:rsidRPr="00EA202D" w:rsidRDefault="004C7A92" w:rsidP="004C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EA20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</w:tr>
    </w:tbl>
    <w:p w:rsidR="00171072" w:rsidRPr="00F90D41" w:rsidRDefault="00171072" w:rsidP="00171072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Fuente: UGEL-Chincheros</w:t>
      </w:r>
      <w:r w:rsidR="00B26733">
        <w:rPr>
          <w:rFonts w:cs="Arial"/>
          <w:snapToGrid w:val="0"/>
        </w:rPr>
        <w:t>, 2018</w:t>
      </w:r>
      <w:r w:rsidR="00E329AB">
        <w:rPr>
          <w:rFonts w:cs="Arial"/>
          <w:snapToGrid w:val="0"/>
        </w:rPr>
        <w:t>.</w:t>
      </w:r>
    </w:p>
    <w:p w:rsidR="00171072" w:rsidRPr="00F90D41" w:rsidRDefault="00171072" w:rsidP="00171072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Víctor Raúl Haya de La Torre</w:t>
      </w:r>
      <w:r w:rsidR="00787D99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Rocchacc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4C7A92">
        <w:rPr>
          <w:rFonts w:cs="Arial"/>
          <w:noProof/>
          <w:snapToGrid w:val="0"/>
        </w:rPr>
        <w:t xml:space="preserve">120 </w:t>
      </w:r>
      <w:r>
        <w:rPr>
          <w:rFonts w:cs="Arial"/>
          <w:snapToGrid w:val="0"/>
        </w:rPr>
        <w:t>alumnos.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4C7A92">
        <w:rPr>
          <w:rFonts w:cs="Arial"/>
          <w:noProof/>
          <w:snapToGrid w:val="0"/>
        </w:rPr>
        <w:t>23</w:t>
      </w:r>
      <w:r w:rsidR="00787D99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4C7A92">
        <w:rPr>
          <w:rFonts w:cs="Arial"/>
          <w:noProof/>
          <w:snapToGrid w:val="0"/>
        </w:rPr>
        <w:t>143</w:t>
      </w:r>
      <w:r w:rsidRPr="00F90D41">
        <w:rPr>
          <w:rFonts w:cs="Arial"/>
          <w:snapToGrid w:val="0"/>
        </w:rPr>
        <w:t>, quienes aún no cuentan con laptops.</w:t>
      </w:r>
    </w:p>
    <w:p w:rsidR="00171072" w:rsidRPr="00F90D41" w:rsidRDefault="00171072" w:rsidP="0017107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171072" w:rsidRPr="00F90D41" w:rsidRDefault="00171072" w:rsidP="00171072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Víctor Raúl Haya de La Torre</w:t>
      </w:r>
      <w:r w:rsidR="00D673AB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Rocchacc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984"/>
        <w:gridCol w:w="942"/>
        <w:gridCol w:w="879"/>
        <w:gridCol w:w="943"/>
        <w:gridCol w:w="902"/>
        <w:gridCol w:w="890"/>
        <w:gridCol w:w="875"/>
        <w:gridCol w:w="924"/>
      </w:tblGrid>
      <w:tr w:rsidR="00171072" w:rsidRPr="00222EBD" w:rsidTr="00880A82">
        <w:trPr>
          <w:trHeight w:val="430"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171072" w:rsidRPr="00222EBD" w:rsidTr="00880A82">
        <w:trPr>
          <w:trHeight w:val="990"/>
        </w:trPr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171072" w:rsidRPr="00222EBD" w:rsidTr="00E329AB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171072" w:rsidP="00787D99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Rocchacc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171072" w:rsidP="00E329A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Víctor Raúl Haya de La Torre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4C7A9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17107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71072" w:rsidRPr="00222EBD" w:rsidRDefault="004C7A9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4C7A9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17107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4C7A9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4C7A9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143</w:t>
            </w:r>
          </w:p>
        </w:tc>
      </w:tr>
      <w:tr w:rsidR="00171072" w:rsidRPr="00222EBD" w:rsidTr="00880A82">
        <w:trPr>
          <w:trHeight w:val="343"/>
        </w:trPr>
        <w:tc>
          <w:tcPr>
            <w:tcW w:w="0" w:type="auto"/>
            <w:gridSpan w:val="2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203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148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171072" w:rsidRPr="00FB214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167</w:t>
            </w:r>
          </w:p>
        </w:tc>
      </w:tr>
      <w:tr w:rsidR="00171072" w:rsidRPr="00222EBD" w:rsidTr="00E329AB">
        <w:trPr>
          <w:trHeight w:val="277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171072" w:rsidRPr="00222EBD" w:rsidRDefault="00171072" w:rsidP="00787D99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71072" w:rsidRPr="000223A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67.44%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0223A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0223A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71072" w:rsidRPr="000223A1" w:rsidRDefault="00171072" w:rsidP="00787D99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71072" w:rsidRPr="00222EBD" w:rsidRDefault="00171072" w:rsidP="00787D99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171072" w:rsidRPr="00F90D41" w:rsidRDefault="00171072" w:rsidP="00171072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622920">
        <w:rPr>
          <w:rFonts w:cs="Arial"/>
          <w:bCs/>
          <w:color w:val="000000"/>
          <w:lang w:val="es-PE" w:eastAsia="es-PE"/>
        </w:rPr>
        <w:t>: Elaboración</w:t>
      </w:r>
      <w:bookmarkStart w:id="0" w:name="_GoBack"/>
      <w:bookmarkEnd w:id="0"/>
      <w:r w:rsidR="00622920">
        <w:rPr>
          <w:rFonts w:cs="Arial"/>
          <w:bCs/>
          <w:color w:val="000000"/>
          <w:lang w:val="es-PE" w:eastAsia="es-PE"/>
        </w:rPr>
        <w:t xml:space="preserve">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E329AB">
        <w:rPr>
          <w:rFonts w:cs="Arial"/>
          <w:bCs/>
          <w:color w:val="000000"/>
          <w:lang w:val="es-PE" w:eastAsia="es-PE"/>
        </w:rPr>
        <w:t xml:space="preserve">datos </w:t>
      </w:r>
      <w:r>
        <w:rPr>
          <w:rFonts w:cs="Arial"/>
          <w:bCs/>
          <w:color w:val="000000"/>
          <w:lang w:val="es-PE" w:eastAsia="es-PE"/>
        </w:rPr>
        <w:t>UGEL Chincheros</w:t>
      </w:r>
      <w:r w:rsidR="004C7A92">
        <w:rPr>
          <w:rFonts w:cs="Arial"/>
          <w:bCs/>
          <w:color w:val="000000"/>
          <w:lang w:val="es-PE" w:eastAsia="es-PE"/>
        </w:rPr>
        <w:t>, 2018</w:t>
      </w:r>
      <w:r>
        <w:rPr>
          <w:rFonts w:cs="Arial"/>
          <w:bCs/>
          <w:color w:val="000000"/>
          <w:lang w:val="es-PE" w:eastAsia="es-PE"/>
        </w:rPr>
        <w:t>.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171072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Víctor Raúl Haya de La Torre</w:t>
      </w:r>
      <w:r w:rsidR="00A91CF6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Rocchacc</w:t>
      </w:r>
      <w:r>
        <w:rPr>
          <w:rFonts w:cs="Arial"/>
          <w:snapToGrid w:val="0"/>
        </w:rPr>
        <w:t>.</w:t>
      </w:r>
    </w:p>
    <w:p w:rsidR="004C7A92" w:rsidRDefault="004C7A9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C7A92" w:rsidRDefault="004C7A9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C7A92" w:rsidRDefault="004C7A9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C7A92" w:rsidRDefault="004C7A9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C7A92" w:rsidRDefault="004C7A9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4C7A92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4C7A92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0C7820">
        <w:rPr>
          <w:rFonts w:cs="Arial"/>
          <w:snapToGrid w:val="0"/>
        </w:rPr>
        <w:t xml:space="preserve"> </w:t>
      </w:r>
      <w:r w:rsidR="004C7A92">
        <w:rPr>
          <w:rFonts w:cs="Arial"/>
          <w:noProof/>
          <w:snapToGrid w:val="0"/>
        </w:rPr>
        <w:t>230</w:t>
      </w:r>
      <w:r w:rsidR="000C7820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55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51786E">
        <w:rPr>
          <w:rFonts w:cs="Arial"/>
          <w:noProof/>
          <w:snapToGrid w:val="0"/>
        </w:rPr>
        <w:t>17</w:t>
      </w:r>
      <w:r w:rsidR="004C7A92">
        <w:rPr>
          <w:rFonts w:cs="Arial"/>
          <w:noProof/>
          <w:snapToGrid w:val="0"/>
        </w:rPr>
        <w:t>5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4C7A92">
        <w:rPr>
          <w:rFonts w:cs="Arial"/>
          <w:noProof/>
          <w:snapToGrid w:val="0"/>
        </w:rPr>
        <w:t>23</w:t>
      </w:r>
      <w:r>
        <w:rPr>
          <w:rFonts w:cs="Arial"/>
          <w:snapToGrid w:val="0"/>
        </w:rPr>
        <w:t xml:space="preserve"> docentes resultando un déficit total final de </w:t>
      </w:r>
      <w:r w:rsidR="000C7820">
        <w:rPr>
          <w:rFonts w:cs="Arial"/>
          <w:noProof/>
          <w:snapToGrid w:val="0"/>
        </w:rPr>
        <w:t>1</w:t>
      </w:r>
      <w:r w:rsidR="0051786E">
        <w:rPr>
          <w:rFonts w:cs="Arial"/>
          <w:noProof/>
          <w:snapToGrid w:val="0"/>
        </w:rPr>
        <w:t>9</w:t>
      </w:r>
      <w:r w:rsidR="004C7A92">
        <w:rPr>
          <w:rFonts w:cs="Arial"/>
          <w:noProof/>
          <w:snapToGrid w:val="0"/>
        </w:rPr>
        <w:t>8</w:t>
      </w:r>
      <w:r w:rsidR="000C7820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171072" w:rsidRPr="00F90D41" w:rsidRDefault="00171072" w:rsidP="0017107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171072" w:rsidRPr="00F90D41" w:rsidRDefault="00171072" w:rsidP="0017107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Víctor Raúl Haya de La Torre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129"/>
        <w:gridCol w:w="1507"/>
        <w:gridCol w:w="1328"/>
        <w:gridCol w:w="1126"/>
        <w:gridCol w:w="858"/>
        <w:gridCol w:w="944"/>
        <w:gridCol w:w="812"/>
      </w:tblGrid>
      <w:tr w:rsidR="00171072" w:rsidRPr="000223A1" w:rsidTr="00880A82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171072" w:rsidRPr="000223A1" w:rsidTr="00880A82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4C7A9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171072" w:rsidRPr="000223A1" w:rsidTr="004C7A92">
        <w:trPr>
          <w:trHeight w:val="5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Rocchacc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Víctor Raúl Haya de La Torre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4C7A92" w:rsidP="004C7A9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4C7A9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55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4C7A92" w:rsidP="004C7A9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175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4C7A92" w:rsidP="004C7A9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4C7A92" w:rsidP="004C7A9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198</w:t>
            </w:r>
          </w:p>
        </w:tc>
      </w:tr>
      <w:tr w:rsidR="00D95554" w:rsidRPr="000223A1" w:rsidTr="00880A82">
        <w:trPr>
          <w:trHeight w:val="448"/>
        </w:trPr>
        <w:tc>
          <w:tcPr>
            <w:tcW w:w="3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95554" w:rsidRPr="000223A1" w:rsidRDefault="00D95554" w:rsidP="00D9555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95554" w:rsidRPr="000223A1" w:rsidRDefault="00D95554" w:rsidP="00D9555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95554" w:rsidRPr="000223A1" w:rsidRDefault="00D95554" w:rsidP="00D9555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55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95554" w:rsidRPr="000223A1" w:rsidRDefault="00D95554" w:rsidP="00D9555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175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95554" w:rsidRPr="000223A1" w:rsidRDefault="00D95554" w:rsidP="00D9555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95554" w:rsidRPr="000223A1" w:rsidRDefault="00D95554" w:rsidP="00D9555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198</w:t>
            </w:r>
          </w:p>
        </w:tc>
      </w:tr>
    </w:tbl>
    <w:p w:rsidR="00171072" w:rsidRPr="00F90D41" w:rsidRDefault="00171072" w:rsidP="00171072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880A82">
        <w:rPr>
          <w:rFonts w:cs="Arial"/>
          <w:snapToGrid w:val="0"/>
        </w:rPr>
        <w:t>Fuente: Elaboración propia.</w:t>
      </w:r>
    </w:p>
    <w:p w:rsidR="00171072" w:rsidRPr="00F90D41" w:rsidRDefault="00171072" w:rsidP="00171072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171072" w:rsidRPr="00F90D41" w:rsidRDefault="00171072" w:rsidP="00171072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BB085B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55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BB085B">
        <w:rPr>
          <w:rFonts w:asciiTheme="minorHAnsi" w:hAnsiTheme="minorHAnsi" w:cs="Arial"/>
          <w:sz w:val="22"/>
          <w:szCs w:val="22"/>
        </w:rPr>
        <w:t>. El 13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</w:t>
      </w:r>
      <w:r w:rsidR="00BB085B">
        <w:rPr>
          <w:rFonts w:asciiTheme="minorHAnsi" w:hAnsiTheme="minorHAnsi" w:cs="Arial"/>
          <w:sz w:val="22"/>
          <w:szCs w:val="22"/>
        </w:rPr>
        <w:t>el 11% enseñanza, el restante 21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171072" w:rsidRDefault="00A91CF6" w:rsidP="00A91CF6">
      <w:pPr>
        <w:pStyle w:val="Prrafodelista"/>
        <w:tabs>
          <w:tab w:val="center" w:pos="4394"/>
          <w:tab w:val="left" w:pos="5459"/>
        </w:tabs>
        <w:spacing w:after="0"/>
        <w:ind w:left="0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ab/>
      </w:r>
      <w:r w:rsidR="00171072" w:rsidRPr="00F90D41">
        <w:rPr>
          <w:rFonts w:asciiTheme="minorHAnsi" w:hAnsiTheme="minorHAnsi" w:cs="Arial"/>
          <w:b/>
          <w:snapToGrid w:val="0"/>
        </w:rPr>
        <w:t>Cuadro Nº 13</w:t>
      </w:r>
      <w:r>
        <w:rPr>
          <w:rFonts w:asciiTheme="minorHAnsi" w:hAnsiTheme="minorHAnsi" w:cs="Arial"/>
          <w:b/>
          <w:snapToGrid w:val="0"/>
        </w:rPr>
        <w:tab/>
      </w:r>
    </w:p>
    <w:tbl>
      <w:tblPr>
        <w:tblW w:w="50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3"/>
        <w:gridCol w:w="879"/>
        <w:gridCol w:w="920"/>
      </w:tblGrid>
      <w:tr w:rsidR="00A91CF6" w:rsidRPr="00A91CF6" w:rsidTr="00D95554">
        <w:trPr>
          <w:trHeight w:val="255"/>
          <w:jc w:val="center"/>
        </w:trPr>
        <w:tc>
          <w:tcPr>
            <w:tcW w:w="5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Rocchac</w:t>
            </w:r>
          </w:p>
        </w:tc>
      </w:tr>
      <w:tr w:rsidR="00A91CF6" w:rsidRPr="00A91CF6" w:rsidTr="00880A82">
        <w:trPr>
          <w:trHeight w:val="58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F6209C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F6209C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F6209C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Venta</w:t>
            </w:r>
            <w:proofErr w:type="gram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,mant.y</w:t>
            </w:r>
            <w:proofErr w:type="spellEnd"/>
            <w:proofErr w:type="gram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rep.veh.autom.y</w:t>
            </w:r>
            <w:proofErr w:type="spell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motoc</w:t>
            </w:r>
            <w:proofErr w:type="spell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F6209C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97459A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F6209C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F6209C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91CF6" w:rsidRPr="00A91CF6" w:rsidTr="00D95554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CF6" w:rsidRPr="00A91CF6" w:rsidRDefault="0097459A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A91CF6" w:rsidRPr="00A91CF6" w:rsidTr="00880A82">
        <w:trPr>
          <w:trHeight w:val="255"/>
          <w:jc w:val="center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91CF6" w:rsidRPr="00A91CF6" w:rsidRDefault="00A91CF6" w:rsidP="00A91CF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91CF6" w:rsidRPr="00A91CF6" w:rsidRDefault="00A91CF6" w:rsidP="00A91CF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91CF6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235</w:t>
            </w:r>
          </w:p>
        </w:tc>
      </w:tr>
    </w:tbl>
    <w:p w:rsidR="00171072" w:rsidRPr="00F90D41" w:rsidRDefault="00A91CF6" w:rsidP="00171072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</w:t>
      </w:r>
      <w:r w:rsidR="00171072">
        <w:rPr>
          <w:rFonts w:asciiTheme="minorHAnsi" w:hAnsiTheme="minorHAnsi" w:cs="Arial"/>
          <w:lang w:val="es-CL"/>
        </w:rPr>
        <w:t xml:space="preserve">    </w:t>
      </w:r>
      <w:r w:rsidR="00171072" w:rsidRPr="00F90D41">
        <w:rPr>
          <w:rFonts w:asciiTheme="minorHAnsi" w:hAnsiTheme="minorHAnsi" w:cs="Arial"/>
          <w:lang w:val="es-CL"/>
        </w:rPr>
        <w:t>Fuente: INEI censo económico 2007</w:t>
      </w:r>
    </w:p>
    <w:p w:rsidR="00D95554" w:rsidRDefault="00D95554" w:rsidP="0017107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171072" w:rsidRPr="00F90D41" w:rsidRDefault="00171072" w:rsidP="0017107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171072" w:rsidRPr="00F90D41" w:rsidRDefault="00171072" w:rsidP="0017107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75</w:t>
      </w:r>
      <w:r w:rsidR="00A91CF6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59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3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A91CF6">
        <w:rPr>
          <w:rFonts w:cs="Arial"/>
          <w:snapToGrid w:val="0"/>
        </w:rPr>
        <w:t xml:space="preserve"> transporte y almacenaje, 4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</w:t>
      </w:r>
      <w:r w:rsidR="00A91CF6">
        <w:rPr>
          <w:rFonts w:cs="Arial"/>
          <w:snapToGrid w:val="0"/>
        </w:rPr>
        <w:t>amiento y comida y 8</w:t>
      </w:r>
      <w:r w:rsidR="00BB085B">
        <w:rPr>
          <w:rFonts w:cs="Arial"/>
          <w:snapToGrid w:val="0"/>
        </w:rPr>
        <w:t xml:space="preserve"> que se dedican </w:t>
      </w:r>
      <w:r w:rsidR="00A91CF6">
        <w:rPr>
          <w:rFonts w:cs="Arial"/>
          <w:snapToGrid w:val="0"/>
        </w:rPr>
        <w:t xml:space="preserve"> a otras actividades.</w:t>
      </w:r>
    </w:p>
    <w:p w:rsidR="00171072" w:rsidRPr="00F90D41" w:rsidRDefault="00171072" w:rsidP="0017107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171072" w:rsidRPr="00F90D41" w:rsidRDefault="00171072" w:rsidP="0017107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234C24">
        <w:rPr>
          <w:rFonts w:asciiTheme="minorHAnsi" w:hAnsiTheme="minorHAnsi" w:cs="Arial"/>
          <w:b/>
          <w:snapToGrid w:val="0"/>
        </w:rPr>
        <w:t>ercio y servicios en el centro poblado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Rocchacc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171072" w:rsidRPr="000223A1" w:rsidTr="00880A82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171072" w:rsidRPr="000223A1" w:rsidTr="00880A82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171072" w:rsidRPr="000223A1" w:rsidTr="00B92FCD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E329A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Rocchacc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75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0223A1" w:rsidRDefault="00171072" w:rsidP="00A91CF6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8</w:t>
            </w:r>
          </w:p>
        </w:tc>
      </w:tr>
    </w:tbl>
    <w:p w:rsidR="00171072" w:rsidRPr="00F90D41" w:rsidRDefault="00171072" w:rsidP="00171072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E329AB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D95554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171072" w:rsidRPr="00F90D41" w:rsidRDefault="00171072" w:rsidP="00171072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171072" w:rsidRPr="00F90D41" w:rsidRDefault="00171072" w:rsidP="00171072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7B0A54" w:rsidRPr="00D74FD9" w:rsidRDefault="007B0A54" w:rsidP="00A62633">
      <w:pPr>
        <w:pStyle w:val="Prrafodelista"/>
        <w:spacing w:before="120" w:after="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D74FD9">
        <w:rPr>
          <w:rFonts w:asciiTheme="minorHAnsi" w:hAnsiTheme="minorHAnsi" w:cs="Arial"/>
          <w:snapToGrid w:val="0"/>
          <w:lang w:val="es-CL"/>
        </w:rPr>
        <w:t>Este se</w:t>
      </w:r>
      <w:r w:rsidR="005719E8">
        <w:rPr>
          <w:rFonts w:asciiTheme="minorHAnsi" w:hAnsiTheme="minorHAnsi" w:cs="Arial"/>
          <w:snapToGrid w:val="0"/>
          <w:lang w:val="es-CL"/>
        </w:rPr>
        <w:t>rvicio cobertura a la parte urbana</w:t>
      </w:r>
      <w:r w:rsidRPr="00D74FD9">
        <w:rPr>
          <w:rFonts w:asciiTheme="minorHAnsi" w:hAnsiTheme="minorHAnsi" w:cs="Arial"/>
          <w:snapToGrid w:val="0"/>
          <w:lang w:val="es-CL"/>
        </w:rPr>
        <w:t xml:space="preserve"> representando el </w:t>
      </w:r>
      <w:r w:rsidR="00A62633">
        <w:rPr>
          <w:rFonts w:asciiTheme="minorHAnsi" w:hAnsiTheme="minorHAnsi" w:cs="Arial"/>
          <w:snapToGrid w:val="0"/>
          <w:lang w:val="es-CL"/>
        </w:rPr>
        <w:t>92.97</w:t>
      </w:r>
      <w:r w:rsidRPr="00D74FD9">
        <w:rPr>
          <w:rFonts w:asciiTheme="minorHAnsi" w:hAnsiTheme="minorHAnsi" w:cs="Arial"/>
          <w:snapToGrid w:val="0"/>
          <w:lang w:val="es-CL"/>
        </w:rPr>
        <w:t xml:space="preserve">% esta proporción está </w:t>
      </w:r>
      <w:r>
        <w:rPr>
          <w:rFonts w:asciiTheme="minorHAnsi" w:hAnsiTheme="minorHAnsi" w:cs="Arial"/>
          <w:snapToGrid w:val="0"/>
          <w:lang w:val="es-CL"/>
        </w:rPr>
        <w:t>conectada a una red de agua</w:t>
      </w:r>
      <w:r w:rsidRPr="00D74FD9">
        <w:rPr>
          <w:rFonts w:asciiTheme="minorHAnsi" w:hAnsiTheme="minorHAnsi" w:cs="Arial"/>
          <w:snapToGrid w:val="0"/>
          <w:lang w:val="es-CL"/>
        </w:rPr>
        <w:t>, la institución educativa interveni</w:t>
      </w:r>
      <w:r w:rsidR="005719E8">
        <w:rPr>
          <w:rFonts w:asciiTheme="minorHAnsi" w:hAnsiTheme="minorHAnsi" w:cs="Arial"/>
          <w:snapToGrid w:val="0"/>
          <w:lang w:val="es-CL"/>
        </w:rPr>
        <w:t xml:space="preserve">da se encuentra en la zona urbana </w:t>
      </w:r>
      <w:r w:rsidRPr="00D74FD9">
        <w:rPr>
          <w:rFonts w:asciiTheme="minorHAnsi" w:hAnsiTheme="minorHAnsi" w:cs="Arial"/>
          <w:snapToGrid w:val="0"/>
          <w:lang w:val="es-CL"/>
        </w:rPr>
        <w:t>nucleada en el centro poblado consiguientemente cuentan con este servicio</w:t>
      </w:r>
      <w:r>
        <w:rPr>
          <w:rFonts w:asciiTheme="minorHAnsi" w:hAnsiTheme="minorHAnsi" w:cs="Arial"/>
          <w:snapToGrid w:val="0"/>
          <w:lang w:val="es-CL"/>
        </w:rPr>
        <w:t>.</w:t>
      </w:r>
    </w:p>
    <w:p w:rsidR="00171072" w:rsidRDefault="00171072" w:rsidP="00A62633">
      <w:pPr>
        <w:spacing w:after="0"/>
        <w:contextualSpacing/>
        <w:jc w:val="center"/>
        <w:rPr>
          <w:rFonts w:cs="Arial"/>
          <w:b/>
          <w:snapToGrid w:val="0"/>
          <w:lang w:val="es-PE"/>
        </w:rPr>
      </w:pPr>
      <w:r w:rsidRPr="000223A1">
        <w:rPr>
          <w:rFonts w:cs="Arial"/>
          <w:b/>
          <w:snapToGrid w:val="0"/>
        </w:rPr>
        <w:t>Cuadro Nº 1</w:t>
      </w:r>
      <w:r w:rsidRPr="000223A1">
        <w:rPr>
          <w:rFonts w:cs="Arial"/>
          <w:b/>
          <w:snapToGrid w:val="0"/>
          <w:lang w:val="es-PE"/>
        </w:rPr>
        <w:t>5</w:t>
      </w:r>
    </w:p>
    <w:p w:rsidR="00A62633" w:rsidRDefault="00A62633" w:rsidP="00A62633">
      <w:pPr>
        <w:spacing w:after="0"/>
        <w:contextualSpacing/>
        <w:jc w:val="center"/>
        <w:rPr>
          <w:rFonts w:cs="Arial"/>
          <w:b/>
          <w:snapToGrid w:val="0"/>
          <w:lang w:val="es-PE"/>
        </w:rPr>
      </w:pPr>
      <w:r>
        <w:rPr>
          <w:rFonts w:ascii="Calibri" w:hAnsi="Calibri" w:cs="Arial"/>
          <w:b/>
          <w:bCs/>
          <w:sz w:val="20"/>
          <w:szCs w:val="20"/>
          <w:lang w:val="es-PE" w:eastAsia="es-PE"/>
        </w:rPr>
        <w:t xml:space="preserve">                      </w:t>
      </w:r>
      <w:r w:rsidRPr="00852759">
        <w:rPr>
          <w:rFonts w:ascii="Calibri" w:hAnsi="Calibri" w:cs="Arial"/>
          <w:b/>
          <w:bCs/>
          <w:sz w:val="20"/>
          <w:szCs w:val="20"/>
          <w:lang w:val="es-PE" w:eastAsia="es-PE"/>
        </w:rPr>
        <w:t>Servicio de agua en</w:t>
      </w:r>
      <w:r>
        <w:rPr>
          <w:rFonts w:ascii="Calibri" w:hAnsi="Calibri" w:cs="Arial"/>
          <w:b/>
          <w:bCs/>
          <w:sz w:val="20"/>
          <w:szCs w:val="20"/>
          <w:lang w:val="es-PE" w:eastAsia="es-PE"/>
        </w:rPr>
        <w:t xml:space="preserve"> el centro poblado de Rocchacc</w:t>
      </w:r>
    </w:p>
    <w:tbl>
      <w:tblPr>
        <w:tblW w:w="6520" w:type="dxa"/>
        <w:tblInd w:w="1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  <w:gridCol w:w="880"/>
        <w:gridCol w:w="980"/>
      </w:tblGrid>
      <w:tr w:rsidR="00A62633" w:rsidRPr="00A62633" w:rsidTr="00880A82">
        <w:trPr>
          <w:trHeight w:val="255"/>
        </w:trPr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62633" w:rsidRPr="00A62633" w:rsidTr="00880A82">
        <w:trPr>
          <w:trHeight w:val="300"/>
        </w:trPr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62633" w:rsidRPr="00A62633" w:rsidTr="00A62633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92.97 %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92.97 %</w:t>
            </w:r>
          </w:p>
        </w:tc>
      </w:tr>
      <w:tr w:rsidR="00A62633" w:rsidRPr="00A62633" w:rsidTr="00A62633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Fuera de la vivienda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0.54 %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0.54 %</w:t>
            </w:r>
          </w:p>
        </w:tc>
      </w:tr>
      <w:tr w:rsidR="00A62633" w:rsidRPr="00A62633" w:rsidTr="00A62633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0.54 %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0.54 %</w:t>
            </w:r>
          </w:p>
        </w:tc>
      </w:tr>
      <w:tr w:rsidR="00A62633" w:rsidRPr="00A62633" w:rsidTr="00A62633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Vecino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3.24 %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3.24 %</w:t>
            </w:r>
          </w:p>
        </w:tc>
      </w:tr>
      <w:tr w:rsidR="00A62633" w:rsidRPr="00A62633" w:rsidTr="00A62633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2.70 %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2.70 %</w:t>
            </w:r>
          </w:p>
        </w:tc>
      </w:tr>
      <w:tr w:rsidR="00A62633" w:rsidRPr="00A62633" w:rsidTr="00880A82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62633" w:rsidRPr="00A62633" w:rsidRDefault="00A62633" w:rsidP="00E329A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62633" w:rsidRPr="00A62633" w:rsidRDefault="00A62633" w:rsidP="00A14C8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171072" w:rsidRPr="00F90D41" w:rsidRDefault="00171072" w:rsidP="00E329AB">
      <w:pPr>
        <w:ind w:left="1701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A62633">
        <w:rPr>
          <w:rFonts w:cs="Arial"/>
          <w:snapToGrid w:val="0"/>
        </w:rPr>
        <w:t>INEI -2007</w:t>
      </w:r>
    </w:p>
    <w:p w:rsidR="00171072" w:rsidRPr="00F90D41" w:rsidRDefault="00171072" w:rsidP="0017107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5719E8" w:rsidRDefault="005719E8" w:rsidP="00A62633">
      <w:pPr>
        <w:pStyle w:val="Prrafodelista"/>
        <w:spacing w:before="120" w:after="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</w:t>
      </w:r>
      <w:proofErr w:type="spellStart"/>
      <w:r>
        <w:rPr>
          <w:rFonts w:asciiTheme="minorHAnsi" w:hAnsiTheme="minorHAnsi" w:cs="Arial"/>
          <w:snapToGrid w:val="0"/>
          <w:lang w:val="es-CL"/>
        </w:rPr>
        <w:t>Rocchac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>
        <w:rPr>
          <w:rFonts w:asciiTheme="minorHAnsi" w:hAnsiTheme="minorHAnsi" w:cs="Arial"/>
          <w:snapToGrid w:val="0"/>
          <w:lang w:val="es-CL"/>
        </w:rPr>
        <w:t>urbana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está dotad</w:t>
      </w:r>
      <w:r>
        <w:rPr>
          <w:rFonts w:asciiTheme="minorHAnsi" w:hAnsiTheme="minorHAnsi" w:cs="Arial"/>
          <w:snapToGrid w:val="0"/>
          <w:lang w:val="es-CL"/>
        </w:rPr>
        <w:t xml:space="preserve">o de este servicio, el </w:t>
      </w:r>
      <w:r w:rsidR="00A62633">
        <w:rPr>
          <w:rFonts w:asciiTheme="minorHAnsi" w:hAnsiTheme="minorHAnsi" w:cs="Arial"/>
          <w:snapToGrid w:val="0"/>
          <w:lang w:val="es-CL"/>
        </w:rPr>
        <w:t>89.73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</w:t>
      </w:r>
      <w:r>
        <w:rPr>
          <w:rFonts w:asciiTheme="minorHAnsi" w:hAnsiTheme="minorHAnsi" w:cs="Arial"/>
          <w:snapToGrid w:val="0"/>
          <w:lang w:val="es-CL"/>
        </w:rPr>
        <w:t>tiene pozo ciego o letrina</w:t>
      </w:r>
      <w:r w:rsidRPr="00F90D41">
        <w:rPr>
          <w:rFonts w:asciiTheme="minorHAnsi" w:hAnsiTheme="minorHAnsi" w:cs="Arial"/>
          <w:snapToGrid w:val="0"/>
          <w:lang w:val="es-CL"/>
        </w:rPr>
        <w:t>,  como a</w:t>
      </w:r>
      <w:r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E329AB" w:rsidRDefault="00E329AB" w:rsidP="00A62633">
      <w:pPr>
        <w:pStyle w:val="Prrafodelista"/>
        <w:spacing w:before="120" w:after="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E329AB" w:rsidRDefault="00E329AB" w:rsidP="00A62633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</w:p>
    <w:p w:rsidR="00D95554" w:rsidRDefault="00E329AB" w:rsidP="00A62633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lastRenderedPageBreak/>
        <w:t xml:space="preserve">  </w:t>
      </w:r>
      <w:r w:rsidR="00171072">
        <w:rPr>
          <w:rFonts w:asciiTheme="minorHAnsi" w:hAnsiTheme="minorHAnsi" w:cs="Arial"/>
          <w:b/>
          <w:snapToGrid w:val="0"/>
        </w:rPr>
        <w:t xml:space="preserve">          </w:t>
      </w:r>
    </w:p>
    <w:p w:rsidR="00171072" w:rsidRDefault="00D95554" w:rsidP="00A62633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</w:t>
      </w:r>
      <w:r w:rsidR="00171072">
        <w:rPr>
          <w:rFonts w:asciiTheme="minorHAnsi" w:hAnsiTheme="minorHAnsi" w:cs="Arial"/>
          <w:b/>
          <w:snapToGrid w:val="0"/>
        </w:rPr>
        <w:t xml:space="preserve">  </w:t>
      </w:r>
      <w:r w:rsidR="00171072"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631" w:tblpY="7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8"/>
        <w:gridCol w:w="886"/>
        <w:gridCol w:w="579"/>
        <w:gridCol w:w="886"/>
      </w:tblGrid>
      <w:tr w:rsidR="001C37BC" w:rsidRPr="00A62633" w:rsidTr="00E329A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 el centro poblado de Rocchac</w:t>
            </w:r>
          </w:p>
        </w:tc>
      </w:tr>
      <w:tr w:rsidR="001C37BC" w:rsidRPr="00A62633" w:rsidTr="00880A82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C37BC" w:rsidRPr="00A62633" w:rsidTr="00880A8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C37BC" w:rsidRPr="00A62633" w:rsidTr="00E329A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 </w:t>
            </w:r>
            <w:proofErr w:type="spellStart"/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desague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dentro de la </w:t>
            </w:r>
            <w:proofErr w:type="spellStart"/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2.70 %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2.70 %</w:t>
            </w:r>
          </w:p>
        </w:tc>
      </w:tr>
      <w:tr w:rsidR="001C37BC" w:rsidRPr="00A62633" w:rsidTr="00E329A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89.73 %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1C37B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89.73 %</w:t>
            </w:r>
          </w:p>
        </w:tc>
      </w:tr>
      <w:tr w:rsidR="001C37BC" w:rsidRPr="00A62633" w:rsidTr="00E329A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Río, acequia o canal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0.54 %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0.54 %</w:t>
            </w:r>
          </w:p>
        </w:tc>
      </w:tr>
      <w:tr w:rsidR="001C37BC" w:rsidRPr="00A62633" w:rsidTr="00E329A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7.03 %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7.03 %</w:t>
            </w:r>
          </w:p>
        </w:tc>
      </w:tr>
      <w:tr w:rsidR="001C37BC" w:rsidRPr="00A62633" w:rsidTr="00880A8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C37BC" w:rsidRPr="00A62633" w:rsidRDefault="001C37BC" w:rsidP="00D9555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6263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62633" w:rsidRDefault="00A62633" w:rsidP="00D95554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71072" w:rsidRDefault="00171072" w:rsidP="00D95554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71072" w:rsidRDefault="00171072" w:rsidP="00D95554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71072" w:rsidRDefault="00171072" w:rsidP="00D95554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D95554" w:rsidRDefault="00D95554" w:rsidP="00D95554">
      <w:pPr>
        <w:spacing w:line="240" w:lineRule="auto"/>
        <w:rPr>
          <w:rFonts w:eastAsia="Calibri" w:cs="Arial"/>
          <w:b/>
          <w:snapToGrid w:val="0"/>
          <w:lang w:val="es-PE" w:eastAsia="en-US"/>
        </w:rPr>
      </w:pPr>
    </w:p>
    <w:p w:rsidR="00D95554" w:rsidRDefault="00D95554" w:rsidP="00D95554">
      <w:pPr>
        <w:spacing w:line="240" w:lineRule="auto"/>
        <w:rPr>
          <w:rFonts w:eastAsia="Calibri" w:cs="Arial"/>
          <w:b/>
          <w:snapToGrid w:val="0"/>
          <w:lang w:val="es-PE" w:eastAsia="en-US"/>
        </w:rPr>
      </w:pPr>
    </w:p>
    <w:p w:rsidR="00171072" w:rsidRPr="00A14C89" w:rsidRDefault="00D95554" w:rsidP="00D95554">
      <w:pPr>
        <w:spacing w:line="240" w:lineRule="auto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</w:t>
      </w:r>
      <w:r w:rsidR="00171072" w:rsidRPr="00A14C89">
        <w:rPr>
          <w:rFonts w:cs="Arial"/>
          <w:snapToGrid w:val="0"/>
        </w:rPr>
        <w:t xml:space="preserve">Fuente: </w:t>
      </w:r>
      <w:r w:rsidR="00A62633" w:rsidRPr="00A14C89">
        <w:rPr>
          <w:rFonts w:cs="Arial"/>
          <w:snapToGrid w:val="0"/>
        </w:rPr>
        <w:t>INEI -2007</w:t>
      </w:r>
    </w:p>
    <w:p w:rsidR="00171072" w:rsidRPr="00F90D41" w:rsidRDefault="00171072" w:rsidP="0017107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B03E76" w:rsidRDefault="00B03E76" w:rsidP="00B03E7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el centro poblado de </w:t>
      </w:r>
      <w:proofErr w:type="spellStart"/>
      <w:r>
        <w:rPr>
          <w:rFonts w:asciiTheme="minorHAnsi" w:hAnsiTheme="minorHAnsi" w:cs="Arial"/>
          <w:snapToGrid w:val="0"/>
          <w:lang w:val="es-ES"/>
        </w:rPr>
        <w:t>Rocchac</w:t>
      </w:r>
      <w:proofErr w:type="spellEnd"/>
      <w:r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85.00</w:t>
      </w:r>
      <w:r w:rsidRPr="00F90D41">
        <w:rPr>
          <w:rFonts w:asciiTheme="minorHAnsi" w:hAnsiTheme="minorHAnsi" w:cs="Arial"/>
          <w:snapToGrid w:val="0"/>
          <w:lang w:val="es-ES"/>
        </w:rPr>
        <w:t xml:space="preserve">% de las viviendas esta </w:t>
      </w:r>
      <w:proofErr w:type="spellStart"/>
      <w:r w:rsidRPr="00F90D41">
        <w:rPr>
          <w:rFonts w:asciiTheme="minorHAnsi" w:hAnsiTheme="minorHAnsi" w:cs="Arial"/>
          <w:snapToGrid w:val="0"/>
          <w:lang w:val="es-ES"/>
        </w:rPr>
        <w:t>coberturada</w:t>
      </w:r>
      <w:proofErr w:type="spellEnd"/>
      <w:r w:rsidRPr="00F90D41">
        <w:rPr>
          <w:rFonts w:asciiTheme="minorHAnsi" w:hAnsiTheme="minorHAnsi" w:cs="Arial"/>
          <w:snapToGrid w:val="0"/>
          <w:lang w:val="es-ES"/>
        </w:rPr>
        <w:t xml:space="preserve">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 y el 15.00</w:t>
      </w:r>
      <w:r w:rsidRPr="00F90D41">
        <w:rPr>
          <w:rFonts w:asciiTheme="minorHAnsi" w:hAnsiTheme="minorHAnsi" w:cs="Arial"/>
          <w:snapToGrid w:val="0"/>
          <w:lang w:val="es-ES"/>
        </w:rPr>
        <w:t>% n</w:t>
      </w:r>
      <w:r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>
        <w:rPr>
          <w:rFonts w:asciiTheme="minorHAnsi" w:hAnsiTheme="minorHAnsi" w:cs="Arial"/>
          <w:snapToGrid w:val="0"/>
          <w:lang w:val="es-ES"/>
        </w:rPr>
        <w:t xml:space="preserve">que contempla </w:t>
      </w:r>
      <w:r w:rsidRPr="00F90D41">
        <w:rPr>
          <w:rFonts w:asciiTheme="minorHAnsi" w:hAnsiTheme="minorHAnsi" w:cs="Arial"/>
          <w:snapToGrid w:val="0"/>
          <w:lang w:val="es-ES"/>
        </w:rPr>
        <w:t xml:space="preserve"> el proyecto</w:t>
      </w:r>
      <w:r>
        <w:rPr>
          <w:rFonts w:asciiTheme="minorHAnsi" w:hAnsiTheme="minorHAnsi" w:cs="Arial"/>
          <w:b/>
          <w:snapToGrid w:val="0"/>
          <w:lang w:val="es-ES"/>
        </w:rPr>
        <w:t xml:space="preserve">             </w:t>
      </w:r>
    </w:p>
    <w:p w:rsidR="00171072" w:rsidRDefault="00E329AB" w:rsidP="00E329AB">
      <w:pPr>
        <w:pStyle w:val="Prrafodelista"/>
        <w:spacing w:after="0" w:line="240" w:lineRule="auto"/>
        <w:ind w:left="1701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                                    </w:t>
      </w:r>
      <w:r w:rsidR="00171072">
        <w:rPr>
          <w:rFonts w:asciiTheme="minorHAnsi" w:hAnsiTheme="minorHAnsi" w:cs="Arial"/>
          <w:b/>
          <w:snapToGrid w:val="0"/>
          <w:lang w:val="es-ES"/>
        </w:rPr>
        <w:t xml:space="preserve"> </w:t>
      </w:r>
      <w:r w:rsidR="001C37BC">
        <w:rPr>
          <w:rFonts w:asciiTheme="minorHAnsi" w:hAnsiTheme="minorHAnsi" w:cs="Arial"/>
          <w:b/>
          <w:snapToGrid w:val="0"/>
          <w:lang w:val="es-ES"/>
        </w:rPr>
        <w:t>Cua</w:t>
      </w:r>
      <w:r w:rsidR="001C37BC" w:rsidRPr="00F90D41">
        <w:rPr>
          <w:rFonts w:asciiTheme="minorHAnsi" w:hAnsiTheme="minorHAnsi" w:cs="Arial"/>
          <w:b/>
          <w:snapToGrid w:val="0"/>
          <w:lang w:val="es-ES"/>
        </w:rPr>
        <w:t xml:space="preserve">dro </w:t>
      </w:r>
      <w:r w:rsidR="00171072" w:rsidRPr="00F90D41">
        <w:rPr>
          <w:rFonts w:asciiTheme="minorHAnsi" w:hAnsiTheme="minorHAnsi" w:cs="Arial"/>
          <w:b/>
          <w:snapToGrid w:val="0"/>
          <w:lang w:val="es-ES"/>
        </w:rPr>
        <w:t>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841"/>
        <w:gridCol w:w="579"/>
        <w:gridCol w:w="886"/>
      </w:tblGrid>
      <w:tr w:rsidR="00171072" w:rsidRPr="00DB0DA8" w:rsidTr="00E329A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1072" w:rsidRPr="00DB0DA8" w:rsidRDefault="00171072" w:rsidP="00A14C89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 e</w:t>
            </w:r>
            <w:r w:rsidR="00B03E7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l centro poblado de </w:t>
            </w:r>
            <w:proofErr w:type="spellStart"/>
            <w:r w:rsidR="00B03E7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Rocchacc</w:t>
            </w:r>
            <w:proofErr w:type="spellEnd"/>
          </w:p>
        </w:tc>
      </w:tr>
      <w:tr w:rsidR="00171072" w:rsidRPr="00DB0DA8" w:rsidTr="00880A82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DB0DA8" w:rsidRDefault="00171072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DB0DA8" w:rsidRDefault="00171072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71072" w:rsidRPr="00DB0DA8" w:rsidTr="00880A8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DB0DA8" w:rsidRDefault="00171072" w:rsidP="00B03E76">
            <w:pPr>
              <w:spacing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DB0DA8" w:rsidRDefault="00171072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DB0DA8" w:rsidRDefault="00171072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DB0DA8" w:rsidRDefault="00171072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71072" w:rsidRPr="00DB0DA8" w:rsidTr="00E329A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DB0DA8" w:rsidRDefault="00171072" w:rsidP="00E329AB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DB0DA8" w:rsidRDefault="00B03E76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DB0DA8" w:rsidRDefault="00B03E76" w:rsidP="00B03E76">
            <w:pPr>
              <w:spacing w:line="240" w:lineRule="auto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 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DB0DA8" w:rsidRDefault="00B03E76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85.00</w:t>
            </w:r>
            <w:r w:rsidR="0017107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171072" w:rsidRPr="00DB0DA8" w:rsidTr="00E329A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DB0DA8" w:rsidRDefault="00171072" w:rsidP="00E329AB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072" w:rsidRPr="00DB0DA8" w:rsidRDefault="00B03E76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DB0DA8" w:rsidRDefault="00B03E76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072" w:rsidRPr="00DB0DA8" w:rsidRDefault="00B03E76" w:rsidP="00B03E76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15.00</w:t>
            </w:r>
            <w:r w:rsidR="0017107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171072" w:rsidRPr="00DB0DA8" w:rsidTr="00880A8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DB0DA8" w:rsidRDefault="00171072" w:rsidP="00E329AB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71072" w:rsidRPr="00DB0DA8" w:rsidRDefault="00B03E76" w:rsidP="00E329AB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DB0DA8" w:rsidRDefault="00B03E76" w:rsidP="00E329AB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71072" w:rsidRPr="00DB0DA8" w:rsidRDefault="00171072" w:rsidP="00E329AB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171072" w:rsidRDefault="00171072" w:rsidP="00E329AB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171072" w:rsidRDefault="00171072" w:rsidP="00E329AB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171072" w:rsidRPr="00F90D41" w:rsidRDefault="00171072" w:rsidP="00E329AB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329AB" w:rsidRDefault="00B03E76" w:rsidP="00E329AB">
      <w:pPr>
        <w:spacing w:after="0" w:line="240" w:lineRule="auto"/>
        <w:ind w:left="2127"/>
        <w:rPr>
          <w:rFonts w:cs="Arial"/>
          <w:snapToGrid w:val="0"/>
        </w:rPr>
      </w:pPr>
      <w:r>
        <w:rPr>
          <w:rFonts w:cs="Arial"/>
          <w:snapToGrid w:val="0"/>
        </w:rPr>
        <w:t xml:space="preserve">     </w:t>
      </w:r>
    </w:p>
    <w:p w:rsidR="00E329AB" w:rsidRDefault="00E329AB" w:rsidP="00E329AB">
      <w:pPr>
        <w:spacing w:after="0" w:line="240" w:lineRule="auto"/>
        <w:ind w:left="2127"/>
        <w:rPr>
          <w:rFonts w:cs="Arial"/>
          <w:snapToGrid w:val="0"/>
        </w:rPr>
      </w:pPr>
    </w:p>
    <w:p w:rsidR="00E329AB" w:rsidRDefault="00E329AB" w:rsidP="00E329AB">
      <w:pPr>
        <w:spacing w:after="0" w:line="240" w:lineRule="auto"/>
        <w:ind w:left="2127"/>
        <w:rPr>
          <w:rFonts w:cs="Arial"/>
          <w:snapToGrid w:val="0"/>
        </w:rPr>
      </w:pPr>
    </w:p>
    <w:p w:rsidR="00E329AB" w:rsidRDefault="00E329AB" w:rsidP="00E329AB">
      <w:pPr>
        <w:spacing w:after="0" w:line="240" w:lineRule="auto"/>
        <w:ind w:left="2127"/>
        <w:rPr>
          <w:rFonts w:cs="Arial"/>
          <w:snapToGrid w:val="0"/>
        </w:rPr>
      </w:pPr>
    </w:p>
    <w:p w:rsidR="008C483C" w:rsidRDefault="00171072" w:rsidP="00E329AB">
      <w:pPr>
        <w:spacing w:after="0" w:line="240" w:lineRule="auto"/>
        <w:ind w:left="2127"/>
        <w:rPr>
          <w:rFonts w:cs="Arial"/>
          <w:b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E329AB">
        <w:rPr>
          <w:rFonts w:cs="Arial"/>
          <w:snapToGrid w:val="0"/>
        </w:rPr>
        <w:t>Diagnóstico</w:t>
      </w:r>
      <w:r w:rsidR="00B03E76">
        <w:rPr>
          <w:rFonts w:cs="Arial"/>
          <w:snapToGrid w:val="0"/>
        </w:rPr>
        <w:t xml:space="preserve"> de campo</w:t>
      </w:r>
      <w:r w:rsidR="00D95554">
        <w:rPr>
          <w:rFonts w:cs="Arial"/>
          <w:snapToGrid w:val="0"/>
        </w:rPr>
        <w:t>, 2018</w:t>
      </w:r>
    </w:p>
    <w:sectPr w:rsidR="008C483C" w:rsidSect="00643977">
      <w:headerReference w:type="default" r:id="rId10"/>
      <w:footerReference w:type="default" r:id="rId11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547" w:rsidRDefault="000C2547" w:rsidP="009B6E8C">
      <w:pPr>
        <w:spacing w:after="0" w:line="240" w:lineRule="auto"/>
      </w:pPr>
      <w:r>
        <w:separator/>
      </w:r>
    </w:p>
  </w:endnote>
  <w:endnote w:type="continuationSeparator" w:id="0">
    <w:p w:rsidR="000C2547" w:rsidRDefault="000C254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3A" w:rsidRPr="00D566D8" w:rsidRDefault="009A0D3A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09BC43F" wp14:editId="52C48B77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0D3A" w:rsidRPr="00ED594C" w:rsidRDefault="009A0D3A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9A0D3A" w:rsidRDefault="009A0D3A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9BC43F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64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9A0D3A" w:rsidRPr="00ED594C" w:rsidRDefault="009A0D3A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9A0D3A" w:rsidRDefault="009A0D3A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547" w:rsidRDefault="000C2547" w:rsidP="009B6E8C">
      <w:pPr>
        <w:spacing w:after="0" w:line="240" w:lineRule="auto"/>
      </w:pPr>
      <w:r>
        <w:separator/>
      </w:r>
    </w:p>
  </w:footnote>
  <w:footnote w:type="continuationSeparator" w:id="0">
    <w:p w:rsidR="000C2547" w:rsidRDefault="000C254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3A" w:rsidRPr="00526CBC" w:rsidRDefault="009A0D3A" w:rsidP="009A0D3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43BE7AF6" wp14:editId="7D800CD6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D3B9AB" id="Grupo 2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A0D3A" w:rsidRPr="001A5FB3" w:rsidRDefault="009A0D3A" w:rsidP="009A0D3A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A182C"/>
    <w:rsid w:val="000A25CC"/>
    <w:rsid w:val="000A2E67"/>
    <w:rsid w:val="000A4DF1"/>
    <w:rsid w:val="000A4EAC"/>
    <w:rsid w:val="000B1F1F"/>
    <w:rsid w:val="000B68F4"/>
    <w:rsid w:val="000B75AB"/>
    <w:rsid w:val="000C15A3"/>
    <w:rsid w:val="000C16E2"/>
    <w:rsid w:val="000C2547"/>
    <w:rsid w:val="000C3C19"/>
    <w:rsid w:val="000C504A"/>
    <w:rsid w:val="000C54C8"/>
    <w:rsid w:val="000C7681"/>
    <w:rsid w:val="000C7820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120D2"/>
    <w:rsid w:val="0011421F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A0D47"/>
    <w:rsid w:val="001A1478"/>
    <w:rsid w:val="001A164C"/>
    <w:rsid w:val="001A50CC"/>
    <w:rsid w:val="001A5FB3"/>
    <w:rsid w:val="001B02F4"/>
    <w:rsid w:val="001B16E1"/>
    <w:rsid w:val="001B7C27"/>
    <w:rsid w:val="001C1331"/>
    <w:rsid w:val="001C37BC"/>
    <w:rsid w:val="001C69AC"/>
    <w:rsid w:val="001D0964"/>
    <w:rsid w:val="001D31CE"/>
    <w:rsid w:val="001D757D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4C24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79AD"/>
    <w:rsid w:val="00317D91"/>
    <w:rsid w:val="0032025F"/>
    <w:rsid w:val="00320402"/>
    <w:rsid w:val="003207F4"/>
    <w:rsid w:val="00322595"/>
    <w:rsid w:val="00322E12"/>
    <w:rsid w:val="00324A41"/>
    <w:rsid w:val="003250CD"/>
    <w:rsid w:val="00325567"/>
    <w:rsid w:val="00346BE3"/>
    <w:rsid w:val="00347B32"/>
    <w:rsid w:val="00351E3A"/>
    <w:rsid w:val="00355B96"/>
    <w:rsid w:val="00355E85"/>
    <w:rsid w:val="00365F79"/>
    <w:rsid w:val="003676F7"/>
    <w:rsid w:val="00371365"/>
    <w:rsid w:val="00371EE2"/>
    <w:rsid w:val="00372A9B"/>
    <w:rsid w:val="00376AC9"/>
    <w:rsid w:val="00383599"/>
    <w:rsid w:val="00383A37"/>
    <w:rsid w:val="0038634A"/>
    <w:rsid w:val="003B02AD"/>
    <w:rsid w:val="003C0C44"/>
    <w:rsid w:val="003C2CC6"/>
    <w:rsid w:val="003C3710"/>
    <w:rsid w:val="003C3AA7"/>
    <w:rsid w:val="003C5B41"/>
    <w:rsid w:val="003C738F"/>
    <w:rsid w:val="003D1271"/>
    <w:rsid w:val="003D20CB"/>
    <w:rsid w:val="003D36A3"/>
    <w:rsid w:val="003D3C99"/>
    <w:rsid w:val="003D4A80"/>
    <w:rsid w:val="003D6489"/>
    <w:rsid w:val="003D6CF4"/>
    <w:rsid w:val="003E1A5D"/>
    <w:rsid w:val="003E3A5A"/>
    <w:rsid w:val="003E431B"/>
    <w:rsid w:val="003E4654"/>
    <w:rsid w:val="003E4E24"/>
    <w:rsid w:val="003F1D43"/>
    <w:rsid w:val="003F2B8F"/>
    <w:rsid w:val="003F3E27"/>
    <w:rsid w:val="003F4284"/>
    <w:rsid w:val="003F5B55"/>
    <w:rsid w:val="003F6B24"/>
    <w:rsid w:val="0040222F"/>
    <w:rsid w:val="0040414D"/>
    <w:rsid w:val="004072CD"/>
    <w:rsid w:val="00410B30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56AC"/>
    <w:rsid w:val="004B6DFD"/>
    <w:rsid w:val="004C0460"/>
    <w:rsid w:val="004C208F"/>
    <w:rsid w:val="004C7A92"/>
    <w:rsid w:val="004D3A74"/>
    <w:rsid w:val="004D7AB8"/>
    <w:rsid w:val="004E007A"/>
    <w:rsid w:val="004E0217"/>
    <w:rsid w:val="004E6BB8"/>
    <w:rsid w:val="00501FA6"/>
    <w:rsid w:val="00504536"/>
    <w:rsid w:val="005112DE"/>
    <w:rsid w:val="0051177C"/>
    <w:rsid w:val="00514E53"/>
    <w:rsid w:val="00516200"/>
    <w:rsid w:val="00517085"/>
    <w:rsid w:val="0051786E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908"/>
    <w:rsid w:val="00577926"/>
    <w:rsid w:val="0057796C"/>
    <w:rsid w:val="00577B77"/>
    <w:rsid w:val="005811CC"/>
    <w:rsid w:val="0058600D"/>
    <w:rsid w:val="00586A71"/>
    <w:rsid w:val="0058732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2920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D4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014D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33E8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B56"/>
    <w:rsid w:val="007A0407"/>
    <w:rsid w:val="007A165B"/>
    <w:rsid w:val="007A2C18"/>
    <w:rsid w:val="007A5A70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2133"/>
    <w:rsid w:val="008456AB"/>
    <w:rsid w:val="008510B9"/>
    <w:rsid w:val="00852CE9"/>
    <w:rsid w:val="00854C60"/>
    <w:rsid w:val="0085631F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0A82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B7"/>
    <w:rsid w:val="00966E33"/>
    <w:rsid w:val="00970877"/>
    <w:rsid w:val="0097459A"/>
    <w:rsid w:val="0097463A"/>
    <w:rsid w:val="00975DFC"/>
    <w:rsid w:val="00977281"/>
    <w:rsid w:val="00984E02"/>
    <w:rsid w:val="00993097"/>
    <w:rsid w:val="00994311"/>
    <w:rsid w:val="009978BA"/>
    <w:rsid w:val="009A0D3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2DE"/>
    <w:rsid w:val="009D2F46"/>
    <w:rsid w:val="009D561F"/>
    <w:rsid w:val="009E03FC"/>
    <w:rsid w:val="009E1006"/>
    <w:rsid w:val="009E1C8C"/>
    <w:rsid w:val="009E4FA6"/>
    <w:rsid w:val="009E5501"/>
    <w:rsid w:val="009E5AE5"/>
    <w:rsid w:val="009F092F"/>
    <w:rsid w:val="009F1C27"/>
    <w:rsid w:val="009F653F"/>
    <w:rsid w:val="009F7661"/>
    <w:rsid w:val="009F7BED"/>
    <w:rsid w:val="009F7D53"/>
    <w:rsid w:val="00A02725"/>
    <w:rsid w:val="00A03479"/>
    <w:rsid w:val="00A0372A"/>
    <w:rsid w:val="00A0576A"/>
    <w:rsid w:val="00A07D4A"/>
    <w:rsid w:val="00A10976"/>
    <w:rsid w:val="00A14C89"/>
    <w:rsid w:val="00A2215E"/>
    <w:rsid w:val="00A305DA"/>
    <w:rsid w:val="00A31609"/>
    <w:rsid w:val="00A319D4"/>
    <w:rsid w:val="00A36E1E"/>
    <w:rsid w:val="00A379A6"/>
    <w:rsid w:val="00A41735"/>
    <w:rsid w:val="00A4731B"/>
    <w:rsid w:val="00A51FB1"/>
    <w:rsid w:val="00A52D63"/>
    <w:rsid w:val="00A552B1"/>
    <w:rsid w:val="00A5732D"/>
    <w:rsid w:val="00A61714"/>
    <w:rsid w:val="00A62633"/>
    <w:rsid w:val="00A64A18"/>
    <w:rsid w:val="00A65074"/>
    <w:rsid w:val="00A67915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2A6C"/>
    <w:rsid w:val="00AD4274"/>
    <w:rsid w:val="00AD78BA"/>
    <w:rsid w:val="00AE12F9"/>
    <w:rsid w:val="00AE721E"/>
    <w:rsid w:val="00AF1807"/>
    <w:rsid w:val="00AF18C5"/>
    <w:rsid w:val="00AF1AB5"/>
    <w:rsid w:val="00AF6C7B"/>
    <w:rsid w:val="00B0047E"/>
    <w:rsid w:val="00B039BD"/>
    <w:rsid w:val="00B03E76"/>
    <w:rsid w:val="00B058EE"/>
    <w:rsid w:val="00B06EEA"/>
    <w:rsid w:val="00B12AB3"/>
    <w:rsid w:val="00B165D9"/>
    <w:rsid w:val="00B171F0"/>
    <w:rsid w:val="00B2064F"/>
    <w:rsid w:val="00B218E0"/>
    <w:rsid w:val="00B2366C"/>
    <w:rsid w:val="00B24120"/>
    <w:rsid w:val="00B26733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54A6"/>
    <w:rsid w:val="00C746D2"/>
    <w:rsid w:val="00C756EF"/>
    <w:rsid w:val="00C76069"/>
    <w:rsid w:val="00C76DEB"/>
    <w:rsid w:val="00C7759B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150B"/>
    <w:rsid w:val="00CC1CA4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992"/>
    <w:rsid w:val="00D352EF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673AB"/>
    <w:rsid w:val="00D702F5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95554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DF6CF4"/>
    <w:rsid w:val="00E009CA"/>
    <w:rsid w:val="00E030D2"/>
    <w:rsid w:val="00E06BD6"/>
    <w:rsid w:val="00E06E4F"/>
    <w:rsid w:val="00E12990"/>
    <w:rsid w:val="00E140D4"/>
    <w:rsid w:val="00E16032"/>
    <w:rsid w:val="00E2158D"/>
    <w:rsid w:val="00E2585D"/>
    <w:rsid w:val="00E273AD"/>
    <w:rsid w:val="00E27876"/>
    <w:rsid w:val="00E31CEA"/>
    <w:rsid w:val="00E320E0"/>
    <w:rsid w:val="00E329AB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17EC"/>
    <w:rsid w:val="00E82E6B"/>
    <w:rsid w:val="00E83EC5"/>
    <w:rsid w:val="00E84B22"/>
    <w:rsid w:val="00E9058E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C24D3"/>
    <w:rsid w:val="00ED225A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5077"/>
    <w:rsid w:val="00F27BDB"/>
    <w:rsid w:val="00F32278"/>
    <w:rsid w:val="00F32447"/>
    <w:rsid w:val="00F331F8"/>
    <w:rsid w:val="00F37998"/>
    <w:rsid w:val="00F37F00"/>
    <w:rsid w:val="00F419CE"/>
    <w:rsid w:val="00F4319D"/>
    <w:rsid w:val="00F45E8E"/>
    <w:rsid w:val="00F47EE9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5B89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7A69EEF-B13B-4895-9C83-A8E5CFEA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71764-92AC-4227-85BC-9823DCA4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12</Pages>
  <Words>2860</Words>
  <Characters>15736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395</cp:revision>
  <dcterms:created xsi:type="dcterms:W3CDTF">2013-11-12T13:13:00Z</dcterms:created>
  <dcterms:modified xsi:type="dcterms:W3CDTF">2018-12-17T09:00:00Z</dcterms:modified>
</cp:coreProperties>
</file>