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DBDE" w14:textId="23AD5AE7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proofErr w:type="spellStart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>Nº</w:t>
      </w:r>
      <w:proofErr w:type="spellEnd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01</w:t>
      </w:r>
      <w:r w:rsidR="008650E9">
        <w:rPr>
          <w:rFonts w:asciiTheme="minorHAnsi" w:hAnsiTheme="minorHAnsi" w:cstheme="minorHAnsi"/>
          <w:bCs/>
          <w:sz w:val="24"/>
          <w:szCs w:val="24"/>
          <w:u w:val="single"/>
        </w:rPr>
        <w:t>5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3C2337E9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0ED" w:rsidRPr="00AE5207">
        <w:rPr>
          <w:rFonts w:asciiTheme="minorHAnsi" w:hAnsiTheme="minorHAnsi" w:cstheme="minorHAnsi"/>
          <w:bCs/>
          <w:sz w:val="20"/>
          <w:szCs w:val="20"/>
        </w:rPr>
        <w:t>MANUEL RAÚL LÍVANO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9BEDB7" w14:textId="37144A7E" w:rsidR="000E2189" w:rsidRPr="00AE5207" w:rsidRDefault="000E2189" w:rsidP="00AE5207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8650E9">
        <w:rPr>
          <w:rStyle w:val="nfasisintenso"/>
          <w:rFonts w:cstheme="minorHAnsi"/>
          <w:i w:val="0"/>
          <w:color w:val="000000"/>
          <w:sz w:val="20"/>
          <w:szCs w:val="20"/>
        </w:rPr>
        <w:t>: Acciones realizadas sobre evaluación del proyecto IOARR de referencia.</w:t>
      </w:r>
    </w:p>
    <w:p w14:paraId="2EFB5C53" w14:textId="77777777" w:rsidR="000E2189" w:rsidRPr="00AE5207" w:rsidRDefault="000E2189" w:rsidP="000E2189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0EE91A30" w:rsidR="00517BEA" w:rsidRPr="004D35BD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4D35BD">
        <w:rPr>
          <w:rStyle w:val="nfasisintenso"/>
          <w:rFonts w:eastAsia="Times New Roman" w:cstheme="minorHAnsi"/>
          <w:bCs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AE5207" w:rsidRPr="004D35BD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>ADQUISICION</w:t>
      </w:r>
      <w:r w:rsidR="00697775" w:rsidRPr="004D35BD">
        <w:rPr>
          <w:rStyle w:val="nfasisintenso"/>
          <w:rFonts w:cstheme="minorHAnsi"/>
          <w:b w:val="0"/>
          <w:i w:val="0"/>
          <w:color w:val="auto"/>
          <w:sz w:val="20"/>
          <w:szCs w:val="20"/>
        </w:rPr>
        <w:t xml:space="preserve">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AE5207" w:rsidRPr="004D35BD">
        <w:rPr>
          <w:rStyle w:val="nfasisintenso"/>
          <w:rFonts w:cstheme="minorHAnsi"/>
          <w:b w:val="0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26222864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>viernes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0</w:t>
      </w:r>
      <w:r w:rsidR="008650E9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4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abril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449FA71C" w14:textId="5F4A1238" w:rsidR="00B178D0" w:rsidRDefault="000E218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bookmarkStart w:id="1" w:name="_GoBack"/>
      <w:r w:rsidRPr="00AE5207">
        <w:rPr>
          <w:rFonts w:asciiTheme="minorHAnsi" w:hAnsiTheme="minorHAnsi" w:cstheme="minorHAnsi"/>
          <w:b w:val="0"/>
          <w:sz w:val="21"/>
          <w:szCs w:val="21"/>
        </w:rPr>
        <w:t>Es grato dirigirme a usted, para saludarle cordialmente y al mismo tiempo informar sobre la</w:t>
      </w:r>
      <w:r w:rsidR="008650E9">
        <w:rPr>
          <w:rFonts w:asciiTheme="minorHAnsi" w:hAnsiTheme="minorHAnsi" w:cstheme="minorHAnsi"/>
          <w:b w:val="0"/>
          <w:sz w:val="21"/>
          <w:szCs w:val="21"/>
        </w:rPr>
        <w:t xml:space="preserve">s acciones realizadas sobre la evaluación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>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</w:p>
    <w:p w14:paraId="37A9D213" w14:textId="4904FD3D" w:rsidR="008650E9" w:rsidRDefault="008650E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La presente evaluación ha integrado generalmente las directivas y lineamientos </w:t>
      </w:r>
      <w:proofErr w:type="spellStart"/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asi</w:t>
      </w:r>
      <w:proofErr w:type="spellEnd"/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como para el desarrollo de proyectos de inversión IOARR y su correspondiente registro en el banco de inversiones de acuerdo a la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DIRECTIVA GENERAL DEL SISTEMA NACIONAL DE PROGRAMACIÓN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MULTIANUAL Y GESTIÓN DE INVERSIONES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DIRECTIVA </w:t>
      </w:r>
      <w:proofErr w:type="spellStart"/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N°</w:t>
      </w:r>
      <w:proofErr w:type="spellEnd"/>
      <w:r w:rsidRPr="008650E9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001-2019-EF/63.01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</w:p>
    <w:p w14:paraId="5F73E666" w14:textId="0C9B9FB4" w:rsidR="008650E9" w:rsidRDefault="008650E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Del mismo modo se ha considerado que los gastos generales y la determinación del correspondiente análisis de costos unitarios estén dentro del marco normativo del </w:t>
      </w:r>
      <w:r w:rsidR="00AC7416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Decreto Regional N. 001 2020-GR. APURÍMAC/GR </w:t>
      </w: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aprobado el 24 de febrero del 2020.</w:t>
      </w:r>
    </w:p>
    <w:p w14:paraId="494A72F0" w14:textId="0E15733F" w:rsidR="00AC7416" w:rsidRDefault="00AC7416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  <w:r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Por tal razón se solicitó la actualización en el marco de los antes mencionado ocasionando una variación del monto total del proyecto en cuanto a gastos generales se refiere. </w:t>
      </w: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bookmarkEnd w:id="1"/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F0B7" w14:textId="77777777" w:rsidR="00090296" w:rsidRDefault="00090296" w:rsidP="003B55BE">
      <w:r>
        <w:separator/>
      </w:r>
    </w:p>
  </w:endnote>
  <w:endnote w:type="continuationSeparator" w:id="0">
    <w:p w14:paraId="5CD572BC" w14:textId="77777777" w:rsidR="00090296" w:rsidRDefault="00090296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36142" w14:textId="77777777" w:rsidR="00090296" w:rsidRDefault="00090296" w:rsidP="003B55BE">
      <w:r>
        <w:separator/>
      </w:r>
    </w:p>
  </w:footnote>
  <w:footnote w:type="continuationSeparator" w:id="0">
    <w:p w14:paraId="1E7FC73A" w14:textId="77777777" w:rsidR="00090296" w:rsidRDefault="00090296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029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5BD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0E9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C7416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3836-EB51-479A-BB77-2D954513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Manuel Raul Livano Luna</cp:lastModifiedBy>
  <cp:revision>3</cp:revision>
  <cp:lastPrinted>2020-04-24T18:47:00Z</cp:lastPrinted>
  <dcterms:created xsi:type="dcterms:W3CDTF">2020-04-24T18:46:00Z</dcterms:created>
  <dcterms:modified xsi:type="dcterms:W3CDTF">2020-04-24T18:49:00Z</dcterms:modified>
</cp:coreProperties>
</file>