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42935306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</w:t>
      </w:r>
      <w:r w:rsidR="009B50F9" w:rsidRPr="00AE5207">
        <w:rPr>
          <w:rFonts w:asciiTheme="minorHAnsi" w:hAnsiTheme="minorHAnsi" w:cstheme="minorHAnsi"/>
          <w:bCs/>
          <w:sz w:val="24"/>
          <w:szCs w:val="24"/>
          <w:u w:val="single"/>
        </w:rPr>
        <w:t>N.º</w:t>
      </w: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</w:t>
      </w:r>
      <w:r w:rsidR="006C6DFD">
        <w:rPr>
          <w:rFonts w:asciiTheme="minorHAnsi" w:hAnsiTheme="minorHAnsi" w:cstheme="minorHAnsi"/>
          <w:bCs/>
          <w:sz w:val="24"/>
          <w:szCs w:val="24"/>
          <w:u w:val="single"/>
        </w:rPr>
        <w:t>23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7F5BAC">
        <w:rPr>
          <w:rFonts w:asciiTheme="minorHAnsi" w:hAnsiTheme="minorHAnsi" w:cstheme="minorHAnsi"/>
          <w:bCs/>
          <w:sz w:val="24"/>
          <w:szCs w:val="24"/>
          <w:u w:val="single"/>
        </w:rPr>
        <w:t>YMC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7A2DAE07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F5BAC">
        <w:rPr>
          <w:rFonts w:asciiTheme="minorHAnsi" w:hAnsiTheme="minorHAnsi" w:cstheme="minorHAnsi"/>
          <w:bCs/>
          <w:sz w:val="20"/>
          <w:szCs w:val="20"/>
        </w:rPr>
        <w:t>YEBER MEDINA COLLAVINO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FB5C53" w14:textId="7D7C5546" w:rsidR="000E2189" w:rsidRDefault="000E2189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</w:t>
      </w:r>
      <w:r w:rsidR="007F5BAC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 </w:t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"ADQUISICION DE MONITOR MULTI PARAMETRO, CAMA CLINICA RODABLE, ASPIRADOR DE SECRECIONES Y PULSIOXIMETRO; ADEMÁS DE OTROS ACTIVOS EN EL(LA) EESS CENTRO DE SALUD ANTABAMBA - ANTABAMBA EN LA LOCALIDAD ANTABAMBA, DISTRITO DE ANTABAMBA, PROVINCIA ANTABAMBA, DEPARTAMENTO APURIMAC"</w:t>
      </w:r>
    </w:p>
    <w:p w14:paraId="6E7850FE" w14:textId="77777777" w:rsidR="00FE5270" w:rsidRPr="00AE5207" w:rsidRDefault="00FE5270" w:rsidP="00FE527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5312E400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0" w:name="_Hlk37088255"/>
      <w:r w:rsidR="00FE5270" w:rsidRPr="00FE5270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0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4B41DFC6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viernes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0</w:t>
      </w:r>
      <w:r w:rsidR="00ED15E4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4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ED15E4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agosto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ED15E4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743BC22F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FE5270" w:rsidRPr="00FE5270">
        <w:rPr>
          <w:rFonts w:asciiTheme="minorHAnsi" w:hAnsiTheme="minorHAnsi" w:cstheme="minorHAnsi"/>
          <w:b w:val="0"/>
          <w:sz w:val="21"/>
          <w:szCs w:val="21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 xml:space="preserve">DIRECTIVA </w:t>
      </w:r>
      <w:proofErr w:type="spellStart"/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</w:t>
      </w:r>
      <w:proofErr w:type="spellEnd"/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 xml:space="preserve">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4BF21E0E" w:rsidR="00A7734D" w:rsidRPr="00ED15E4" w:rsidRDefault="00ED15E4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D15E4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M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 xml:space="preserve">icro red </w:t>
            </w:r>
            <w:proofErr w:type="spellStart"/>
            <w:r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A</w:t>
            </w:r>
            <w:r w:rsidRPr="00ED15E4">
              <w:rPr>
                <w:rFonts w:asciiTheme="minorHAnsi" w:eastAsia="Arial Unicode MS" w:hAnsiTheme="minorHAnsi" w:cstheme="minorHAnsi"/>
                <w:b w:val="0"/>
                <w:bCs/>
                <w:position w:val="-1"/>
                <w:sz w:val="20"/>
                <w:szCs w:val="20"/>
              </w:rPr>
              <w:t>ntabamba</w:t>
            </w:r>
            <w:proofErr w:type="spellEnd"/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12072196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7B4D67AD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63491AD7" w:rsidR="00A7734D" w:rsidRPr="00A7734D" w:rsidRDefault="00C730BF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Antabamba</w:t>
            </w:r>
            <w:proofErr w:type="spellEnd"/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045AA6D6" w:rsidR="008C668E" w:rsidRPr="008C668E" w:rsidRDefault="00C730BF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C730BF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0096: ATENCIÓN MÉDICA BÁSICA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CE56C21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61AFAB2A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5E92B27E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</w:t>
      </w:r>
      <w:r w:rsid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699B2CED" w14:textId="77777777" w:rsidR="003009D4" w:rsidRPr="003009D4" w:rsidRDefault="003009D4" w:rsidP="003009D4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10589FE7" w14:textId="2C74610E" w:rsidR="003009D4" w:rsidRPr="003009D4" w:rsidRDefault="003009D4" w:rsidP="00702E93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presente evaluación ha integrado generalmente las directivas y lineamientos dictados por el gobierno, así como para el desarrollo de proyectos de inversión IOARR y su correspondiente registro en el banco de inversiones de acuerdo a la DIRECTIVA GENERAL DEL SISTEMA NACIONAL DE PROGRAMACIÓN MULTIANUAL Y GESTIÓN DE INVERSIONES DIRECTIVA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001-2019-EF/63.01.</w:t>
      </w:r>
    </w:p>
    <w:p w14:paraId="7C66D725" w14:textId="77777777" w:rsidR="003009D4" w:rsidRPr="003009D4" w:rsidRDefault="003009D4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020986" w14:textId="0A58A980" w:rsidR="003009D4" w:rsidRDefault="003009D4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039-2020 que dicta medidas complementarias para el Sector Salud en el marco de la Emergencia Sanitaria por los efectos del Coronavirus (COVID-19),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045-2020  que modifica el Artículo 11 del Decreto de Urgencia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039-2020 Decreto de Urgencia que dicta medidas complementarias para el Sector Salud en el marco de la Emergencia Sanitaria por los efectos del Coronavirus (COVID-19), Decreto Supremo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008-2020-SA en el que se Declara en Emergencia Sanitaria a nivel nacional, Resolución Ministerial </w:t>
      </w:r>
      <w:proofErr w:type="spellStart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N°</w:t>
      </w:r>
      <w:proofErr w:type="spellEnd"/>
      <w:r w:rsidRPr="003009D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324-2020-MINSA sobre Adquisición de Equipamiento para garantizar el adecuado y oportuno suministro de, y otros emitidos a la fecha.</w:t>
      </w:r>
    </w:p>
    <w:p w14:paraId="5C77B786" w14:textId="77777777" w:rsidR="003009D4" w:rsidRPr="003009D4" w:rsidRDefault="003009D4" w:rsidP="003009D4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66B4661" w14:textId="0E1DA859" w:rsidR="003009D4" w:rsidRPr="003009D4" w:rsidRDefault="006E0473" w:rsidP="003009D4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135-2020-PCM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que “</w:t>
      </w:r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Prorrogar el Estado de Emergencia Nacional declarado mediante Decreto Supremo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044-2020-PCM, ampliado temporalmente mediante los Decretos Supremos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075-2020-PCM,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083-2020-PCM,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094-2020-PCM y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116-2020-PCM; y precisado o modificado por los Decretos Supremos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045-2020-PCM,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046-2020-PCM,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057-2020-PCM,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058-2020-PCM,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061-2020-PCM,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068-2020-PCM,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072-2020-PCM,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083-2020-PCM,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094-2020-PCM,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110-2020-PCM,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116-2020-PCM,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117-2020-PCM y </w:t>
      </w:r>
      <w:proofErr w:type="spellStart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Nº</w:t>
      </w:r>
      <w:proofErr w:type="spellEnd"/>
      <w:r w:rsidRPr="006E0473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129-2020-PCM, a partir del sábado 01 de agosto de 2020 hasta el lunes 31 de agosto de 2020, por las graves circunstancias que afectan la vida de la Nación a consecuencia del COVID-19.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</w:t>
      </w:r>
    </w:p>
    <w:p w14:paraId="6B80A86E" w14:textId="77777777" w:rsidR="000E2189" w:rsidRPr="003009D4" w:rsidRDefault="000E2189" w:rsidP="003009D4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4156A2C5" w:rsidR="000D3C29" w:rsidRDefault="00225352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sumamente necesario fortalecer los servicios de salud para la atención y contención del covid-19, para ello es necesario fortalecer los centros del primer nivel de atención.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ese sentido la proyección para la atención de pacientes graves COVID 19 superaría el 25% conforme se puede observar la tendencia de casos de coronavirus confirmados en el país y de las distintas regiones (117 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5409734F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Cierre de la brecha posible mediante la adquisición de equipamiento biomédico para </w:t>
      </w:r>
      <w:r w:rsid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el </w:t>
      </w:r>
      <w:r w:rsidR="00142A34" w:rsidRPr="00142A34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EESS CENTRO DE SALUD ANTABAMBA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mediante la ejecución del Proyecto denominado “</w:t>
      </w:r>
      <w:r w:rsidR="00FE5270" w:rsidRPr="00FE5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5ACFA26A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FE5270" w:rsidRPr="00FE5270"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AE5207" w:rsidRPr="00DA5B77">
        <w:t>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3D3045F3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1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</w:t>
            </w:r>
            <w:r w:rsidR="00FE5270" w:rsidRPr="00FE5270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".</w:t>
            </w:r>
            <w:bookmarkEnd w:id="1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336254F8" w:rsidR="00B20BA4" w:rsidRPr="00B61F18" w:rsidRDefault="00C730BF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ANTABAMBA</w:t>
            </w:r>
            <w:r w:rsidR="00B20BA4"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7FD1FD7E" w:rsidR="00B20BA4" w:rsidRPr="00B61F18" w:rsidRDefault="0063717E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63717E">
              <w:rPr>
                <w:rFonts w:ascii="Calibri" w:hAnsi="Calibri" w:cs="Calibri"/>
                <w:b w:val="0"/>
                <w:sz w:val="20"/>
                <w:szCs w:val="20"/>
                <w:lang w:eastAsia="es-PE"/>
              </w:rPr>
              <w:t>S/. 453,016.57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63717E" w:rsidRPr="00B61F18" w14:paraId="0C19B8A3" w14:textId="77777777" w:rsidTr="0063717E">
        <w:tc>
          <w:tcPr>
            <w:tcW w:w="3020" w:type="dxa"/>
            <w:shd w:val="clear" w:color="auto" w:fill="FFFFFF" w:themeFill="background1"/>
          </w:tcPr>
          <w:p w14:paraId="667F7F7A" w14:textId="139E24BB" w:rsidR="0063717E" w:rsidRPr="0063717E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>COSTO DIRECTO</w:t>
            </w:r>
          </w:p>
        </w:tc>
        <w:tc>
          <w:tcPr>
            <w:tcW w:w="3021" w:type="dxa"/>
            <w:shd w:val="clear" w:color="auto" w:fill="FFFFFF" w:themeFill="background1"/>
          </w:tcPr>
          <w:p w14:paraId="444A4F0D" w14:textId="77777777" w:rsidR="0063717E" w:rsidRPr="0063717E" w:rsidRDefault="0063717E" w:rsidP="0063717E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1C7767E" w14:textId="00EA37A4" w:rsidR="0063717E" w:rsidRPr="0063717E" w:rsidRDefault="0063717E" w:rsidP="0063717E">
            <w:pPr>
              <w:pStyle w:val="Sinespaciado"/>
              <w:jc w:val="right"/>
              <w:rPr>
                <w:sz w:val="20"/>
                <w:szCs w:val="20"/>
              </w:rPr>
            </w:pPr>
            <w:r w:rsidRPr="00750CC1">
              <w:t>S/. 389,402.79</w:t>
            </w:r>
          </w:p>
        </w:tc>
      </w:tr>
      <w:tr w:rsidR="0063717E" w:rsidRPr="00B61F18" w14:paraId="43917DD7" w14:textId="77777777" w:rsidTr="00DA5B77">
        <w:tc>
          <w:tcPr>
            <w:tcW w:w="3020" w:type="dxa"/>
          </w:tcPr>
          <w:p w14:paraId="51CCF83E" w14:textId="0B5DA151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 xml:space="preserve">GASTOS GENERALES </w:t>
            </w:r>
          </w:p>
        </w:tc>
        <w:tc>
          <w:tcPr>
            <w:tcW w:w="3021" w:type="dxa"/>
          </w:tcPr>
          <w:p w14:paraId="3F5C30C0" w14:textId="0BDB519F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10.18%</w:t>
            </w:r>
          </w:p>
        </w:tc>
        <w:tc>
          <w:tcPr>
            <w:tcW w:w="3021" w:type="dxa"/>
          </w:tcPr>
          <w:p w14:paraId="4EC70180" w14:textId="2998BC4C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39,625.25</w:t>
            </w:r>
          </w:p>
        </w:tc>
      </w:tr>
      <w:tr w:rsidR="0063717E" w:rsidRPr="00B61F18" w14:paraId="3FA12563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F9581FD" w14:textId="4D682174" w:rsidR="0063717E" w:rsidRPr="0063717E" w:rsidRDefault="0063717E" w:rsidP="0063717E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SUB TOTAL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A89B6D" w14:textId="77D6FB34" w:rsidR="0063717E" w:rsidRPr="0063717E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105FA09B" w14:textId="3AC4AD1F" w:rsidR="0063717E" w:rsidRPr="0063717E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S/. 429,028.04</w:t>
            </w:r>
          </w:p>
        </w:tc>
      </w:tr>
      <w:tr w:rsidR="0063717E" w:rsidRPr="00B61F18" w14:paraId="2A7A454F" w14:textId="77777777" w:rsidTr="0063717E">
        <w:tc>
          <w:tcPr>
            <w:tcW w:w="3020" w:type="dxa"/>
            <w:shd w:val="clear" w:color="auto" w:fill="FFFFFF" w:themeFill="background1"/>
          </w:tcPr>
          <w:p w14:paraId="7C6963AA" w14:textId="509D9153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722167D1" w14:textId="77777777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698AEE5" w14:textId="26323F27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63717E" w:rsidRPr="00B61F18" w14:paraId="246F4186" w14:textId="77777777" w:rsidTr="0063717E">
        <w:tc>
          <w:tcPr>
            <w:tcW w:w="3020" w:type="dxa"/>
            <w:shd w:val="clear" w:color="auto" w:fill="D0CECE" w:themeFill="background2" w:themeFillShade="E6"/>
          </w:tcPr>
          <w:p w14:paraId="3684ACDE" w14:textId="38200615" w:rsidR="0063717E" w:rsidRPr="0063717E" w:rsidRDefault="0063717E" w:rsidP="0063717E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PRESUPUESTO BASE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1AE880CA" w14:textId="0D6FEDCF" w:rsidR="0063717E" w:rsidRPr="0063717E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0CECE" w:themeFill="background2" w:themeFillShade="E6"/>
          </w:tcPr>
          <w:p w14:paraId="64A18B70" w14:textId="4A352DB2" w:rsidR="0063717E" w:rsidRPr="0063717E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63717E">
              <w:rPr>
                <w:b/>
                <w:bCs/>
              </w:rPr>
              <w:t>S/. 429,028.04</w:t>
            </w:r>
          </w:p>
        </w:tc>
      </w:tr>
      <w:tr w:rsidR="0063717E" w:rsidRPr="00B61F18" w14:paraId="5B3E9B2C" w14:textId="77777777" w:rsidTr="00DA5B77">
        <w:tc>
          <w:tcPr>
            <w:tcW w:w="3020" w:type="dxa"/>
          </w:tcPr>
          <w:p w14:paraId="513943BF" w14:textId="37772454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1CE8E702" w14:textId="1A02D1AD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</w:tcPr>
          <w:p w14:paraId="2DF2EB6E" w14:textId="71E88C0C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 xml:space="preserve"> </w:t>
            </w:r>
          </w:p>
        </w:tc>
      </w:tr>
      <w:tr w:rsidR="0063717E" w:rsidRPr="00B61F18" w14:paraId="20F65B06" w14:textId="77777777" w:rsidTr="0063717E">
        <w:tc>
          <w:tcPr>
            <w:tcW w:w="3020" w:type="dxa"/>
            <w:shd w:val="clear" w:color="auto" w:fill="auto"/>
          </w:tcPr>
          <w:p w14:paraId="00AE8454" w14:textId="7B9551B7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 xml:space="preserve">GASTOS DE SUPERVISION </w:t>
            </w:r>
          </w:p>
        </w:tc>
        <w:tc>
          <w:tcPr>
            <w:tcW w:w="3021" w:type="dxa"/>
            <w:shd w:val="clear" w:color="auto" w:fill="auto"/>
          </w:tcPr>
          <w:p w14:paraId="421748C8" w14:textId="27EAE6B5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4.07%</w:t>
            </w:r>
          </w:p>
        </w:tc>
        <w:tc>
          <w:tcPr>
            <w:tcW w:w="3021" w:type="dxa"/>
            <w:shd w:val="clear" w:color="auto" w:fill="auto"/>
          </w:tcPr>
          <w:p w14:paraId="124FF854" w14:textId="31DC8F2B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15,861.20</w:t>
            </w:r>
          </w:p>
        </w:tc>
      </w:tr>
      <w:tr w:rsidR="0063717E" w:rsidRPr="00B61F18" w14:paraId="130CC7D5" w14:textId="77777777" w:rsidTr="0063717E">
        <w:tc>
          <w:tcPr>
            <w:tcW w:w="3020" w:type="dxa"/>
            <w:shd w:val="clear" w:color="auto" w:fill="auto"/>
          </w:tcPr>
          <w:p w14:paraId="1115E2AC" w14:textId="28F5A53C" w:rsidR="0063717E" w:rsidRPr="00B61F18" w:rsidRDefault="0063717E" w:rsidP="0063717E">
            <w:pPr>
              <w:pStyle w:val="Sinespaciado"/>
              <w:rPr>
                <w:sz w:val="20"/>
                <w:szCs w:val="20"/>
              </w:rPr>
            </w:pPr>
            <w:r w:rsidRPr="00C532B3">
              <w:t>GASTOS DE LIQUIDACION</w:t>
            </w:r>
          </w:p>
        </w:tc>
        <w:tc>
          <w:tcPr>
            <w:tcW w:w="3021" w:type="dxa"/>
            <w:shd w:val="clear" w:color="auto" w:fill="auto"/>
          </w:tcPr>
          <w:p w14:paraId="0FA5A7F8" w14:textId="79A17C0D" w:rsidR="0063717E" w:rsidRPr="00C32CAA" w:rsidRDefault="0063717E" w:rsidP="0063717E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A12B41">
              <w:t>2.09%</w:t>
            </w:r>
          </w:p>
        </w:tc>
        <w:tc>
          <w:tcPr>
            <w:tcW w:w="3021" w:type="dxa"/>
            <w:shd w:val="clear" w:color="auto" w:fill="auto"/>
          </w:tcPr>
          <w:p w14:paraId="61299382" w14:textId="791C47E5" w:rsidR="0063717E" w:rsidRPr="00C32CAA" w:rsidRDefault="0063717E" w:rsidP="0063717E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750CC1">
              <w:t>S/. 8,127.33</w:t>
            </w:r>
          </w:p>
        </w:tc>
      </w:tr>
      <w:tr w:rsidR="0063717E" w:rsidRPr="00B61F18" w14:paraId="766F293B" w14:textId="77777777" w:rsidTr="0063717E">
        <w:tc>
          <w:tcPr>
            <w:tcW w:w="3020" w:type="dxa"/>
            <w:shd w:val="clear" w:color="auto" w:fill="AEAAAA" w:themeFill="background2" w:themeFillShade="BF"/>
          </w:tcPr>
          <w:p w14:paraId="57A3D0E2" w14:textId="3EAD8BE4" w:rsidR="0063717E" w:rsidRPr="0063717E" w:rsidRDefault="0063717E" w:rsidP="0063717E">
            <w:pPr>
              <w:pStyle w:val="Sinespaciado"/>
              <w:rPr>
                <w:b/>
                <w:bCs/>
              </w:rPr>
            </w:pPr>
            <w:r w:rsidRPr="0063717E">
              <w:rPr>
                <w:b/>
                <w:bCs/>
              </w:rPr>
              <w:t>PRESUPUESTO TOTAL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14:paraId="42915BB9" w14:textId="77777777" w:rsidR="0063717E" w:rsidRPr="0063717E" w:rsidRDefault="0063717E" w:rsidP="0063717E">
            <w:pPr>
              <w:pStyle w:val="Sinespaciado"/>
              <w:jc w:val="center"/>
              <w:rPr>
                <w:b/>
                <w:bCs/>
              </w:rPr>
            </w:pPr>
          </w:p>
        </w:tc>
        <w:tc>
          <w:tcPr>
            <w:tcW w:w="3021" w:type="dxa"/>
            <w:shd w:val="clear" w:color="auto" w:fill="AEAAAA" w:themeFill="background2" w:themeFillShade="BF"/>
          </w:tcPr>
          <w:p w14:paraId="5D789814" w14:textId="42B2BFD8" w:rsidR="0063717E" w:rsidRPr="0063717E" w:rsidRDefault="0063717E" w:rsidP="0063717E">
            <w:pPr>
              <w:pStyle w:val="Sinespaciado"/>
              <w:jc w:val="right"/>
              <w:rPr>
                <w:b/>
                <w:bCs/>
              </w:rPr>
            </w:pPr>
            <w:r w:rsidRPr="0063717E">
              <w:rPr>
                <w:b/>
                <w:bCs/>
              </w:rPr>
              <w:t>S/. 453,016.57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6F640967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03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meses</w:t>
      </w:r>
      <w:r w:rsidR="0063717E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proofErr w:type="spellStart"/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°</w:t>
      </w:r>
      <w:proofErr w:type="spellEnd"/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proofErr w:type="spellStart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</w:t>
      </w:r>
      <w:proofErr w:type="spellEnd"/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4BC091E2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</w:t>
      </w:r>
      <w:proofErr w:type="spellStart"/>
      <w:r w:rsidR="00EA5795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°</w:t>
      </w:r>
      <w:proofErr w:type="spellEnd"/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6B582D72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</w:t>
            </w:r>
            <w:r w:rsidR="00FE5270" w:rsidRPr="00FE527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  <w:proofErr w:type="spellEnd"/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56FE10EC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0B5C4D42" w14:textId="6F0C9A5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189F2BE" w14:textId="77777777" w:rsidR="001145ED" w:rsidRDefault="001145ED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37CEB5B5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</w:t>
      </w:r>
      <w:r w:rsidR="00FE5270" w:rsidRPr="00FE527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MONITOR MULTI PARAMETRO, CAMA CLINICA RODABLE, ASPIRADOR DE SECRECIONES Y PULSIOXIMETRO; ADEMÁS DE OTROS ACTIVOS EN EL(LA) EESS CENTRO DE SALUD ANTABAMBA - ANTABAMBA EN LA LOCALIDAD ANTABAMBA, DISTRITO DE ANTABAMBA, PROVINCIA ANTABAMBA,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65C7A72A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lastRenderedPageBreak/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4202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03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42027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tres meses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3062F679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5815E1" w:rsidRPr="005815E1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S/. 453,016.57</w:t>
      </w:r>
      <w:r w:rsidR="005815E1" w:rsidRPr="005815E1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  <w:lang w:eastAsia="es-PE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5815E1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cuatrocientos cincuenta y tres mil sesenta y uno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5815E1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57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0505" w14:textId="77777777" w:rsidR="005A3051" w:rsidRDefault="005A3051" w:rsidP="003B55BE">
      <w:r>
        <w:separator/>
      </w:r>
    </w:p>
  </w:endnote>
  <w:endnote w:type="continuationSeparator" w:id="0">
    <w:p w14:paraId="29CE83DD" w14:textId="77777777" w:rsidR="005A3051" w:rsidRDefault="005A3051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E7C65" w14:textId="77777777" w:rsidR="005A3051" w:rsidRDefault="005A3051" w:rsidP="003B55BE">
      <w:r>
        <w:separator/>
      </w:r>
    </w:p>
  </w:footnote>
  <w:footnote w:type="continuationSeparator" w:id="0">
    <w:p w14:paraId="621AC612" w14:textId="77777777" w:rsidR="005A3051" w:rsidRDefault="005A3051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1D72"/>
    <w:rsid w:val="001145ED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2A34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2FC9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5352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5AEE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4343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09D4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270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36CC"/>
    <w:rsid w:val="005648C1"/>
    <w:rsid w:val="00565A7D"/>
    <w:rsid w:val="00571F30"/>
    <w:rsid w:val="00573DBF"/>
    <w:rsid w:val="00576744"/>
    <w:rsid w:val="005776D3"/>
    <w:rsid w:val="00580DEF"/>
    <w:rsid w:val="005815E1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051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2F4"/>
    <w:rsid w:val="006367B2"/>
    <w:rsid w:val="00636C5F"/>
    <w:rsid w:val="0063717E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DFD"/>
    <w:rsid w:val="006C6EC5"/>
    <w:rsid w:val="006D0737"/>
    <w:rsid w:val="006D0E5E"/>
    <w:rsid w:val="006D4D2D"/>
    <w:rsid w:val="006D7315"/>
    <w:rsid w:val="006D7FE2"/>
    <w:rsid w:val="006E0473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4E2D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5BAC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B687A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C6F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B50F9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0BF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795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15E4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5270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7927-16C1-4DC6-B96F-342260B5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MEL</cp:lastModifiedBy>
  <cp:revision>58</cp:revision>
  <cp:lastPrinted>2019-12-19T21:56:00Z</cp:lastPrinted>
  <dcterms:created xsi:type="dcterms:W3CDTF">2019-11-15T14:40:00Z</dcterms:created>
  <dcterms:modified xsi:type="dcterms:W3CDTF">2020-08-24T00:55:00Z</dcterms:modified>
</cp:coreProperties>
</file>