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3A486977"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Pr>
          <w:rFonts w:ascii="Agency FB" w:hAnsi="Agency FB" w:cstheme="minorHAnsi"/>
          <w:b/>
          <w:color w:val="FF0000"/>
          <w:sz w:val="24"/>
          <w:szCs w:val="24"/>
        </w:rPr>
        <w:t>ELECTRODOMÉSTICOS</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MEJORAMIENTO DEL SERVICIO EDUCATIVO EN LA IEP N°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4ADDD393"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913E01">
        <w:rPr>
          <w:rFonts w:ascii="Agency FB" w:hAnsi="Agency FB" w:cstheme="minorHAnsi"/>
          <w:b/>
          <w:color w:val="FF0000"/>
          <w:sz w:val="24"/>
          <w:szCs w:val="24"/>
        </w:rPr>
        <w:t>EQUIPAMIENTO PARA COCINA</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9598CAE"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913E01">
        <w:rPr>
          <w:rFonts w:ascii="Agency FB" w:hAnsi="Agency FB" w:cstheme="minorHAnsi"/>
          <w:b/>
          <w:color w:val="FF0000"/>
          <w:sz w:val="24"/>
          <w:szCs w:val="24"/>
        </w:rPr>
        <w:t>EQUIPAMIENTO PARA COCINA</w:t>
      </w:r>
      <w:r w:rsidRPr="00C66126">
        <w:rPr>
          <w:rFonts w:ascii="Agency FB" w:eastAsia="SimSun" w:hAnsi="Agency FB" w:cstheme="minorHAnsi"/>
          <w:kern w:val="28"/>
          <w:sz w:val="24"/>
          <w:szCs w:val="24"/>
          <w:lang w:eastAsia="es-ES"/>
        </w:rPr>
        <w:t xml:space="preserve"> y de esta manera continuar con la ejecución de la obra: </w:t>
      </w:r>
      <w:r w:rsidRPr="00C66126">
        <w:rPr>
          <w:rFonts w:ascii="Agency FB" w:hAnsi="Agency FB" w:cstheme="minorHAnsi"/>
          <w:lang w:eastAsia="es-ES"/>
        </w:rPr>
        <w:t>MEJORAMIENTO DEL SERVICIO EDUCATIVO EN LA I.E.P.  N°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N°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0CF0E580"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913E01">
        <w:rPr>
          <w:rFonts w:ascii="Agency FB" w:hAnsi="Agency FB" w:cstheme="minorHAnsi"/>
          <w:b/>
          <w:color w:val="FF0000"/>
          <w:sz w:val="24"/>
          <w:szCs w:val="24"/>
        </w:rPr>
        <w:t>EQUIPAMIENTO PARA COCINA</w:t>
      </w:r>
      <w:r w:rsidRPr="00C66126">
        <w:rPr>
          <w:rFonts w:ascii="Agency FB" w:hAnsi="Agency FB" w:cstheme="minorHAnsi"/>
          <w:sz w:val="24"/>
          <w:szCs w:val="24"/>
        </w:rPr>
        <w:t xml:space="preserve"> 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MEJORAMIENTO DEL SERVICIO EDUCATIVO EN LA I.E.P.  N°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r w:rsidRPr="00534C45">
              <w:rPr>
                <w:rFonts w:ascii="Agency FB" w:hAnsi="Agency FB" w:cstheme="minorHAnsi"/>
                <w:b/>
              </w:rPr>
              <w:t>N°</w:t>
            </w:r>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913E01" w:rsidRPr="00534C45" w14:paraId="3EFAF7EE" w14:textId="77777777" w:rsidTr="00D4360A">
        <w:trPr>
          <w:trHeight w:val="558"/>
        </w:trPr>
        <w:tc>
          <w:tcPr>
            <w:tcW w:w="520" w:type="dxa"/>
            <w:vAlign w:val="center"/>
          </w:tcPr>
          <w:p w14:paraId="55385BB2" w14:textId="77AE13DA" w:rsidR="00913E01" w:rsidRPr="00534C45" w:rsidRDefault="00913E01" w:rsidP="00913E01">
            <w:pPr>
              <w:jc w:val="both"/>
              <w:rPr>
                <w:rFonts w:ascii="Agency FB" w:hAnsi="Agency FB" w:cstheme="minorHAnsi"/>
                <w:b/>
              </w:rPr>
            </w:pPr>
            <w:r w:rsidRPr="00D4360A">
              <w:rPr>
                <w:rFonts w:ascii="Agency FB" w:eastAsia="Times New Roman" w:hAnsi="Agency FB" w:cstheme="minorHAnsi"/>
                <w:lang w:eastAsia="es-PE"/>
              </w:rPr>
              <w:t>1</w:t>
            </w:r>
          </w:p>
        </w:tc>
        <w:tc>
          <w:tcPr>
            <w:tcW w:w="1602" w:type="dxa"/>
            <w:vAlign w:val="center"/>
          </w:tcPr>
          <w:p w14:paraId="6E22A65C" w14:textId="51B5448D" w:rsidR="00913E01" w:rsidRPr="00534C45" w:rsidRDefault="00913E01" w:rsidP="00913E01">
            <w:pPr>
              <w:jc w:val="both"/>
              <w:rPr>
                <w:rFonts w:ascii="Agency FB" w:hAnsi="Agency FB" w:cstheme="minorHAnsi"/>
                <w:b/>
              </w:rPr>
            </w:pPr>
            <w:r>
              <w:rPr>
                <w:rFonts w:ascii="Agency FB" w:eastAsia="Times New Roman" w:hAnsi="Agency FB" w:cstheme="minorHAnsi"/>
                <w:lang w:eastAsia="es-PE"/>
              </w:rPr>
              <w:t>C</w:t>
            </w:r>
            <w:r w:rsidRPr="00776A7C">
              <w:rPr>
                <w:rFonts w:ascii="Agency FB" w:eastAsia="Times New Roman" w:hAnsi="Agency FB" w:cstheme="minorHAnsi"/>
                <w:lang w:eastAsia="es-PE"/>
              </w:rPr>
              <w:t>ampana extractora</w:t>
            </w:r>
          </w:p>
        </w:tc>
        <w:tc>
          <w:tcPr>
            <w:tcW w:w="1138" w:type="dxa"/>
            <w:vAlign w:val="center"/>
          </w:tcPr>
          <w:p w14:paraId="42550A70" w14:textId="3213B2F6" w:rsidR="00913E01" w:rsidRPr="00534C45" w:rsidRDefault="00913E01" w:rsidP="00913E01">
            <w:pPr>
              <w:jc w:val="center"/>
              <w:rPr>
                <w:rFonts w:ascii="Agency FB" w:hAnsi="Agency FB" w:cstheme="minorHAnsi"/>
                <w:b/>
              </w:rPr>
            </w:pPr>
            <w:r w:rsidRPr="00534C45">
              <w:rPr>
                <w:rFonts w:ascii="Agency FB" w:eastAsia="Times New Roman" w:hAnsi="Agency FB" w:cstheme="minorHAnsi"/>
                <w:lang w:eastAsia="es-PE"/>
              </w:rPr>
              <w:t>Unidad</w:t>
            </w:r>
          </w:p>
        </w:tc>
        <w:tc>
          <w:tcPr>
            <w:tcW w:w="709" w:type="dxa"/>
            <w:vAlign w:val="center"/>
          </w:tcPr>
          <w:p w14:paraId="537E3DA2" w14:textId="3F2970E8" w:rsidR="00913E01" w:rsidRPr="00534C45" w:rsidRDefault="00913E01" w:rsidP="00913E01">
            <w:pPr>
              <w:jc w:val="center"/>
              <w:rPr>
                <w:rFonts w:ascii="Agency FB" w:hAnsi="Agency FB" w:cstheme="minorHAnsi"/>
                <w:b/>
              </w:rPr>
            </w:pPr>
            <w:r>
              <w:rPr>
                <w:rFonts w:ascii="Agency FB" w:eastAsia="Times New Roman" w:hAnsi="Agency FB" w:cstheme="minorHAnsi"/>
                <w:lang w:eastAsia="es-PE"/>
              </w:rPr>
              <w:t>2</w:t>
            </w:r>
          </w:p>
        </w:tc>
        <w:tc>
          <w:tcPr>
            <w:tcW w:w="3827" w:type="dxa"/>
          </w:tcPr>
          <w:p w14:paraId="02C552C1"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Color Silver</w:t>
            </w:r>
          </w:p>
          <w:p w14:paraId="67047174"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Material de filtro: Aluminio, Carbón</w:t>
            </w:r>
          </w:p>
          <w:p w14:paraId="308169F4"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Tipo de panel: Análogo</w:t>
            </w:r>
          </w:p>
          <w:p w14:paraId="6FCA74F4"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Filtro Lavable: Sí</w:t>
            </w:r>
          </w:p>
          <w:p w14:paraId="44F5A123"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Timer: No</w:t>
            </w:r>
          </w:p>
          <w:p w14:paraId="1E339628"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lastRenderedPageBreak/>
              <w:t>•</w:t>
            </w:r>
            <w:r w:rsidRPr="00E20AE4">
              <w:rPr>
                <w:rFonts w:ascii="Agency FB" w:eastAsia="Times New Roman" w:hAnsi="Agency FB" w:cstheme="minorHAnsi"/>
                <w:lang w:eastAsia="es-PE"/>
              </w:rPr>
              <w:tab/>
            </w:r>
            <w:r>
              <w:rPr>
                <w:rFonts w:ascii="Agency FB" w:eastAsia="Times New Roman" w:hAnsi="Agency FB" w:cstheme="minorHAnsi"/>
                <w:lang w:eastAsia="es-PE"/>
              </w:rPr>
              <w:t>Tipo de campana: Mixta</w:t>
            </w:r>
          </w:p>
          <w:p w14:paraId="3C143939"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Cantidad de Filtros = 3</w:t>
            </w:r>
          </w:p>
          <w:p w14:paraId="6EE41E7D"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Cantidad de motores = 2</w:t>
            </w:r>
          </w:p>
          <w:p w14:paraId="407298FF"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Válvula antirretorno: No</w:t>
            </w:r>
          </w:p>
          <w:p w14:paraId="07644495"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Bloqueo de seguridad: Sí</w:t>
            </w:r>
          </w:p>
          <w:p w14:paraId="2CA7C8B8"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Filtro para lavavajillas: No</w:t>
            </w:r>
          </w:p>
          <w:p w14:paraId="3BCC0459"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Luz de encendido: Sí</w:t>
            </w:r>
          </w:p>
          <w:p w14:paraId="1CCFAB71"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Iluminación incorporada: Sí</w:t>
            </w:r>
          </w:p>
          <w:p w14:paraId="65F0D11C"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Potencia de la lampara= 2x40W</w:t>
            </w:r>
          </w:p>
          <w:p w14:paraId="62930ED0"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Niveles de potencia = 3</w:t>
            </w:r>
          </w:p>
          <w:p w14:paraId="3EAC3421"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Tipo de instalación a la pared</w:t>
            </w:r>
          </w:p>
          <w:p w14:paraId="6F58A569"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Caudal = 600m3/h</w:t>
            </w:r>
          </w:p>
          <w:p w14:paraId="36CE9BAA"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Potencia = 7x175 W</w:t>
            </w:r>
          </w:p>
          <w:p w14:paraId="2F369F9A"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Alto = 13 cm</w:t>
            </w:r>
          </w:p>
          <w:p w14:paraId="5D959E6D"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Ancho = 90 cm</w:t>
            </w:r>
          </w:p>
          <w:p w14:paraId="4FEBA060"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Profundidad = 49 cm</w:t>
            </w:r>
          </w:p>
          <w:p w14:paraId="1D74687B" w14:textId="77777777" w:rsidR="00913E01" w:rsidRPr="00E20AE4"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Alimentación Red eléctrica</w:t>
            </w:r>
          </w:p>
          <w:p w14:paraId="15D8F5DA" w14:textId="77777777" w:rsidR="00913E01" w:rsidRPr="00D16477" w:rsidRDefault="00913E01" w:rsidP="00913E01">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3F5C6464" w14:textId="77777777" w:rsidR="00913E01" w:rsidRDefault="00913E01" w:rsidP="00913E01">
            <w:pPr>
              <w:jc w:val="center"/>
              <w:rPr>
                <w:noProof/>
              </w:rPr>
            </w:pPr>
          </w:p>
          <w:p w14:paraId="2D0F4C9D" w14:textId="56843302" w:rsidR="00913E01" w:rsidRPr="00534C45" w:rsidRDefault="00913E01" w:rsidP="00913E01">
            <w:pPr>
              <w:jc w:val="center"/>
              <w:rPr>
                <w:rFonts w:ascii="Agency FB" w:hAnsi="Agency FB" w:cstheme="minorHAnsi"/>
                <w:b/>
              </w:rPr>
            </w:pPr>
            <w:r>
              <w:rPr>
                <w:noProof/>
              </w:rPr>
              <w:drawing>
                <wp:inline distT="0" distB="0" distL="0" distR="0" wp14:anchorId="28A5B609" wp14:editId="784536BB">
                  <wp:extent cx="2216524" cy="657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78" t="48796" r="49378" b="37441"/>
                          <a:stretch/>
                        </pic:blipFill>
                        <pic:spPr bwMode="auto">
                          <a:xfrm>
                            <a:off x="0" y="0"/>
                            <a:ext cx="2244745" cy="665593"/>
                          </a:xfrm>
                          <a:prstGeom prst="rect">
                            <a:avLst/>
                          </a:prstGeom>
                          <a:ln>
                            <a:noFill/>
                          </a:ln>
                          <a:extLst>
                            <a:ext uri="{53640926-AAD7-44D8-BBD7-CCE9431645EC}">
                              <a14:shadowObscured xmlns:a14="http://schemas.microsoft.com/office/drawing/2010/main"/>
                            </a:ext>
                          </a:extLst>
                        </pic:spPr>
                      </pic:pic>
                    </a:graphicData>
                  </a:graphic>
                </wp:inline>
              </w:drawing>
            </w:r>
          </w:p>
        </w:tc>
      </w:tr>
      <w:tr w:rsidR="00913E01" w:rsidRPr="00534C45" w14:paraId="6FE60ED4" w14:textId="77777777" w:rsidTr="00262B5C">
        <w:trPr>
          <w:trHeight w:val="228"/>
        </w:trPr>
        <w:tc>
          <w:tcPr>
            <w:tcW w:w="520" w:type="dxa"/>
            <w:noWrap/>
            <w:vAlign w:val="center"/>
          </w:tcPr>
          <w:p w14:paraId="79E713F9" w14:textId="6B7E3CBA" w:rsidR="00913E01" w:rsidRPr="00534C45" w:rsidRDefault="00913E01" w:rsidP="00913E01">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p>
        </w:tc>
        <w:tc>
          <w:tcPr>
            <w:tcW w:w="1602" w:type="dxa"/>
            <w:vAlign w:val="center"/>
          </w:tcPr>
          <w:p w14:paraId="30F62527" w14:textId="223F32A3" w:rsidR="00913E01" w:rsidRPr="00534C45" w:rsidRDefault="00913E01" w:rsidP="00913E01">
            <w:pPr>
              <w:rPr>
                <w:rFonts w:ascii="Agency FB" w:eastAsia="Times New Roman" w:hAnsi="Agency FB" w:cstheme="minorHAnsi"/>
                <w:lang w:eastAsia="es-PE"/>
              </w:rPr>
            </w:pPr>
            <w:r>
              <w:rPr>
                <w:rFonts w:ascii="Agency FB" w:eastAsia="Times New Roman" w:hAnsi="Agency FB" w:cstheme="minorHAnsi"/>
                <w:lang w:eastAsia="es-PE"/>
              </w:rPr>
              <w:t>Reloj de una esfera de pared</w:t>
            </w:r>
          </w:p>
        </w:tc>
        <w:tc>
          <w:tcPr>
            <w:tcW w:w="1138" w:type="dxa"/>
            <w:noWrap/>
            <w:vAlign w:val="center"/>
          </w:tcPr>
          <w:p w14:paraId="6DFC2002" w14:textId="6D8663B7" w:rsidR="00913E01" w:rsidRPr="00534C45" w:rsidRDefault="00913E01" w:rsidP="00913E01">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7C64DA91" w14:textId="57AC4EC7" w:rsidR="00913E01" w:rsidRPr="00534C45" w:rsidRDefault="00913E01" w:rsidP="00913E01">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08570655" w14:textId="77777777" w:rsidR="00913E01" w:rsidRPr="00E94684" w:rsidRDefault="00913E01" w:rsidP="00913E01">
            <w:pPr>
              <w:ind w:left="180" w:hanging="142"/>
              <w:rPr>
                <w:rFonts w:ascii="Agency FB" w:eastAsia="Times New Roman" w:hAnsi="Agency FB" w:cstheme="minorHAnsi"/>
                <w:lang w:eastAsia="es-PE"/>
              </w:rPr>
            </w:pPr>
            <w:r w:rsidRPr="00E94684">
              <w:rPr>
                <w:rFonts w:ascii="Agency FB" w:eastAsia="Times New Roman" w:hAnsi="Agency FB" w:cstheme="minorHAnsi"/>
                <w:lang w:eastAsia="es-PE"/>
              </w:rPr>
              <w:t>•</w:t>
            </w:r>
            <w:r w:rsidRPr="00E94684">
              <w:rPr>
                <w:rFonts w:ascii="Agency FB" w:eastAsia="Times New Roman" w:hAnsi="Agency FB" w:cstheme="minorHAnsi"/>
                <w:lang w:eastAsia="es-PE"/>
              </w:rPr>
              <w:tab/>
              <w:t>Reloj De Pared.</w:t>
            </w:r>
          </w:p>
          <w:p w14:paraId="0D9A9CC9" w14:textId="77777777" w:rsidR="00913E01" w:rsidRPr="00E94684" w:rsidRDefault="00913E01" w:rsidP="00913E01">
            <w:pPr>
              <w:ind w:left="180" w:hanging="142"/>
              <w:rPr>
                <w:rFonts w:ascii="Agency FB" w:eastAsia="Times New Roman" w:hAnsi="Agency FB" w:cstheme="minorHAnsi"/>
                <w:lang w:eastAsia="es-PE"/>
              </w:rPr>
            </w:pPr>
            <w:r w:rsidRPr="00E94684">
              <w:rPr>
                <w:rFonts w:ascii="Agency FB" w:eastAsia="Times New Roman" w:hAnsi="Agency FB" w:cstheme="minorHAnsi"/>
                <w:lang w:eastAsia="es-PE"/>
              </w:rPr>
              <w:t>•</w:t>
            </w:r>
            <w:r w:rsidRPr="00E94684">
              <w:rPr>
                <w:rFonts w:ascii="Agency FB" w:eastAsia="Times New Roman" w:hAnsi="Agency FB" w:cstheme="minorHAnsi"/>
                <w:lang w:eastAsia="es-PE"/>
              </w:rPr>
              <w:tab/>
              <w:t>Dimensiones: 32.5cm de largo x 32.5 cm de ancho.</w:t>
            </w:r>
          </w:p>
          <w:p w14:paraId="7F7D7D71" w14:textId="77777777" w:rsidR="00913E01" w:rsidRDefault="00913E01" w:rsidP="00913E01">
            <w:pPr>
              <w:ind w:left="180" w:hanging="142"/>
              <w:rPr>
                <w:rFonts w:ascii="Agency FB" w:eastAsia="Times New Roman" w:hAnsi="Agency FB" w:cstheme="minorHAnsi"/>
                <w:lang w:eastAsia="es-PE"/>
              </w:rPr>
            </w:pPr>
            <w:r w:rsidRPr="00E94684">
              <w:rPr>
                <w:rFonts w:ascii="Agency FB" w:eastAsia="Times New Roman" w:hAnsi="Agency FB" w:cstheme="minorHAnsi"/>
                <w:lang w:eastAsia="es-PE"/>
              </w:rPr>
              <w:t>•</w:t>
            </w:r>
            <w:r w:rsidRPr="00E94684">
              <w:rPr>
                <w:rFonts w:ascii="Agency FB" w:eastAsia="Times New Roman" w:hAnsi="Agency FB" w:cstheme="minorHAnsi"/>
                <w:lang w:eastAsia="es-PE"/>
              </w:rPr>
              <w:tab/>
              <w:t>Material: plástico y vidrio</w:t>
            </w:r>
          </w:p>
          <w:p w14:paraId="4C8A4781" w14:textId="0C42619F" w:rsidR="00913E01" w:rsidRPr="00534C45" w:rsidRDefault="00913E01" w:rsidP="00913E01">
            <w:pPr>
              <w:ind w:left="175" w:hanging="142"/>
              <w:jc w:val="center"/>
              <w:rPr>
                <w:rFonts w:ascii="Agency FB" w:eastAsia="Times New Roman" w:hAnsi="Agency FB" w:cstheme="minorHAnsi"/>
                <w:lang w:eastAsia="es-PE"/>
              </w:rPr>
            </w:pPr>
            <w:r>
              <w:rPr>
                <w:noProof/>
              </w:rPr>
              <w:drawing>
                <wp:inline distT="0" distB="0" distL="0" distR="0" wp14:anchorId="69A7D71E" wp14:editId="66F4893D">
                  <wp:extent cx="1470660" cy="1395730"/>
                  <wp:effectExtent l="0" t="0" r="0" b="0"/>
                  <wp:docPr id="22" name="Imagen 22"/>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9">
                            <a:extLst>
                              <a:ext uri="{BEBA8EAE-BF5A-486C-A8C5-ECC9F3942E4B}">
                                <a14:imgProps xmlns:a14="http://schemas.microsoft.com/office/drawing/2010/main">
                                  <a14:imgLayer r:embed="rId10">
                                    <a14:imgEffect>
                                      <a14:backgroundRemoval t="6826" b="89989" l="4777" r="89809">
                                        <a14:foregroundMark x1="31847" y1="10466" x2="31847" y2="10466"/>
                                        <a14:foregroundMark x1="41614" y1="9898" x2="53609" y2="10808"/>
                                        <a14:foregroundMark x1="55202" y1="10808" x2="72611" y2="19909"/>
                                        <a14:foregroundMark x1="72611" y1="19909" x2="79406" y2="38794"/>
                                        <a14:foregroundMark x1="79406" y1="38794" x2="78132" y2="59954"/>
                                        <a14:foregroundMark x1="78132" y1="59954" x2="64862" y2="77361"/>
                                        <a14:foregroundMark x1="64862" y1="77361" x2="47558" y2="86234"/>
                                        <a14:foregroundMark x1="47558" y1="86234" x2="29299" y2="85097"/>
                                        <a14:foregroundMark x1="29299" y1="85097" x2="11890" y2="73151"/>
                                        <a14:foregroundMark x1="11890" y1="73151" x2="4246" y2="53811"/>
                                        <a14:foregroundMark x1="4246" y1="53811" x2="4883" y2="33106"/>
                                        <a14:foregroundMark x1="4883" y1="33106" x2="16561" y2="15813"/>
                                        <a14:foregroundMark x1="16561" y1="15813" x2="33121" y2="7053"/>
                                        <a14:foregroundMark x1="33121" y1="7053" x2="51699" y2="6826"/>
                                        <a14:foregroundMark x1="51699" y1="6826" x2="59448" y2="12173"/>
                                        <a14:foregroundMark x1="26539" y1="10466" x2="26539" y2="10466"/>
                                        <a14:foregroundMark x1="23885" y1="9898" x2="23885" y2="9898"/>
                                        <a14:foregroundMark x1="28132" y1="9898" x2="28132" y2="9898"/>
                                        <a14:foregroundMark x1="28344" y1="8532" x2="28344" y2="8532"/>
                                        <a14:foregroundMark x1="27813" y1="8532" x2="27813" y2="8532"/>
                                        <a14:foregroundMark x1="26539" y1="8532" x2="26539" y2="8532"/>
                                        <a14:foregroundMark x1="8174" y1="37543" x2="8174" y2="37543"/>
                                        <a14:foregroundMark x1="4777" y1="44937" x2="4777" y2="44937"/>
                                        <a14:foregroundMark x1="60297" y1="11718" x2="60297" y2="11718"/>
                                        <a14:foregroundMark x1="61040" y1="11263" x2="61040" y2="11263"/>
                                        <a14:foregroundMark x1="58280" y1="9556" x2="58280" y2="9556"/>
                                        <a14:foregroundMark x1="59023" y1="8646" x2="59023" y2="8646"/>
                                        <a14:foregroundMark x1="60297" y1="8987" x2="60297" y2="8987"/>
                                        <a14:foregroundMark x1="63694" y1="11604" x2="63694" y2="11604"/>
                                        <a14:foregroundMark x1="68471" y1="14562" x2="68471" y2="14562"/>
                                        <a14:foregroundMark x1="55839" y1="83049" x2="55839" y2="83049"/>
                                        <a14:foregroundMark x1="57006" y1="82708" x2="57006" y2="82708"/>
                                        <a14:backgroundMark x1="54352" y1="86121" x2="59554" y2="83390"/>
                                      </a14:backgroundRemoval>
                                    </a14:imgEffect>
                                  </a14:imgLayer>
                                </a14:imgProps>
                              </a:ext>
                            </a:extLst>
                          </a:blip>
                          <a:srcRect r="14395" b="12953"/>
                          <a:stretch/>
                        </pic:blipFill>
                        <pic:spPr bwMode="auto">
                          <a:xfrm>
                            <a:off x="0" y="0"/>
                            <a:ext cx="1470660" cy="13957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1D2F1EA" w14:textId="77777777" w:rsidR="00262B5C" w:rsidRPr="00C66126"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lastRenderedPageBreak/>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V°B°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2B94" w14:textId="77777777" w:rsidR="005C61C9" w:rsidRDefault="005C61C9" w:rsidP="00FF2335">
      <w:pPr>
        <w:spacing w:after="0" w:line="240" w:lineRule="auto"/>
      </w:pPr>
      <w:r>
        <w:separator/>
      </w:r>
    </w:p>
  </w:endnote>
  <w:endnote w:type="continuationSeparator" w:id="0">
    <w:p w14:paraId="25AE647F" w14:textId="77777777" w:rsidR="005C61C9" w:rsidRDefault="005C61C9"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F339" w14:textId="77777777" w:rsidR="005C61C9" w:rsidRDefault="005C61C9" w:rsidP="00FF2335">
      <w:pPr>
        <w:spacing w:after="0" w:line="240" w:lineRule="auto"/>
      </w:pPr>
      <w:r>
        <w:separator/>
      </w:r>
    </w:p>
  </w:footnote>
  <w:footnote w:type="continuationSeparator" w:id="0">
    <w:p w14:paraId="2CE0DBF5" w14:textId="77777777" w:rsidR="005C61C9" w:rsidRDefault="005C61C9"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61C9"/>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13E01"/>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2D18"/>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3</cp:revision>
  <cp:lastPrinted>2022-01-31T22:48:00Z</cp:lastPrinted>
  <dcterms:created xsi:type="dcterms:W3CDTF">2022-02-08T00:34:00Z</dcterms:created>
  <dcterms:modified xsi:type="dcterms:W3CDTF">2022-02-08T00:40:00Z</dcterms:modified>
</cp:coreProperties>
</file>