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4C45889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MINI ARREGLO </w:t>
      </w:r>
      <w:r w:rsidR="006B5CE3">
        <w:rPr>
          <w:rFonts w:ascii="Agency FB" w:hAnsi="Agency FB" w:cstheme="minorHAnsi"/>
          <w:b/>
          <w:bCs/>
          <w:color w:val="FF0000"/>
          <w:sz w:val="24"/>
          <w:szCs w:val="24"/>
        </w:rPr>
        <w:t>PARA SUM PRIMARIA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146FAD66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>MINI ARREGLO</w:t>
      </w:r>
      <w:r w:rsidR="006B5CE3" w:rsidRPr="006B5CE3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6B5CE3">
        <w:rPr>
          <w:rFonts w:ascii="Agency FB" w:hAnsi="Agency FB" w:cstheme="minorHAnsi"/>
          <w:b/>
          <w:bCs/>
          <w:color w:val="FF0000"/>
          <w:sz w:val="24"/>
          <w:szCs w:val="24"/>
        </w:rPr>
        <w:t>PARA SUM PRIMARIA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303D8FFF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>MINI ARREGLO</w:t>
      </w:r>
      <w:r w:rsidR="006B5CE3" w:rsidRPr="006B5CE3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6B5CE3">
        <w:rPr>
          <w:rFonts w:ascii="Agency FB" w:hAnsi="Agency FB" w:cstheme="minorHAnsi"/>
          <w:b/>
          <w:bCs/>
          <w:color w:val="FF0000"/>
          <w:sz w:val="24"/>
          <w:szCs w:val="24"/>
        </w:rPr>
        <w:t>PARA SUM PRIMARIA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50E0FD5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>MINI ARREGLO</w:t>
      </w:r>
      <w:r w:rsidR="006B5CE3" w:rsidRPr="006B5CE3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6B5CE3">
        <w:rPr>
          <w:rFonts w:ascii="Agency FB" w:hAnsi="Agency FB" w:cstheme="minorHAnsi"/>
          <w:b/>
          <w:bCs/>
          <w:color w:val="FF0000"/>
          <w:sz w:val="24"/>
          <w:szCs w:val="24"/>
        </w:rPr>
        <w:t>PARA SUM PRIMARIA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F254A1" w:rsidRPr="00DA287E" w14:paraId="745B9A62" w14:textId="77777777" w:rsidTr="00E70F38">
        <w:trPr>
          <w:trHeight w:val="558"/>
        </w:trPr>
        <w:tc>
          <w:tcPr>
            <w:tcW w:w="425" w:type="dxa"/>
            <w:vAlign w:val="center"/>
            <w:hideMark/>
          </w:tcPr>
          <w:p w14:paraId="0F0442B4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317F9C9A" w14:textId="77777777" w:rsidR="00F254A1" w:rsidRPr="00DA287E" w:rsidRDefault="00F254A1" w:rsidP="00E70F38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7A7960B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4333CC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52C02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254A1" w:rsidRPr="00DA287E" w14:paraId="6558B97D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793EAA58" w14:textId="77777777" w:rsidR="00F254A1" w:rsidRPr="00DA287E" w:rsidRDefault="00F254A1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7419DED6" w14:textId="1D90CFA9" w:rsidR="00F254A1" w:rsidRPr="00DA287E" w:rsidRDefault="00A026FA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Mini arreglo</w:t>
            </w:r>
            <w:r w:rsidR="004E4090" w:rsidRPr="00DA287E">
              <w:rPr>
                <w:rFonts w:ascii="Agency FB" w:eastAsia="Times New Roman" w:hAnsi="Agency FB" w:cstheme="minorHAnsi"/>
                <w:lang w:eastAsia="es-PE"/>
              </w:rPr>
              <w:t xml:space="preserve"> tipo I</w:t>
            </w:r>
          </w:p>
        </w:tc>
        <w:tc>
          <w:tcPr>
            <w:tcW w:w="997" w:type="dxa"/>
            <w:noWrap/>
            <w:vAlign w:val="center"/>
          </w:tcPr>
          <w:p w14:paraId="1F86B519" w14:textId="77777777" w:rsidR="00F254A1" w:rsidRPr="00DA287E" w:rsidRDefault="00F254A1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0DDE5594" w14:textId="662A73D3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A026FA" w:rsidRPr="00DA287E"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961" w:type="dxa"/>
            <w:vAlign w:val="center"/>
          </w:tcPr>
          <w:p w14:paraId="6A80CD7D" w14:textId="48E9D073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Especificaciones acústicas </w:t>
            </w:r>
            <w:r w:rsidR="00DA287E" w:rsidRPr="00DA287E">
              <w:rPr>
                <w:rFonts w:ascii="Agency FB" w:hAnsi="Agency FB" w:cstheme="minorHAnsi"/>
                <w:lang w:eastAsia="es-PE"/>
              </w:rPr>
              <w:t>mínimas</w:t>
            </w:r>
          </w:p>
          <w:p w14:paraId="50D3CBA7" w14:textId="2DC42A5C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RESPUESTA EN FRECUENCIA: 40 Hz ÷ 20.000 Hz</w:t>
            </w:r>
          </w:p>
          <w:p w14:paraId="5F323110" w14:textId="7FE60E0B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SPL MÁX. A 1 M: 130 dB</w:t>
            </w:r>
          </w:p>
          <w:p w14:paraId="0E5D1751" w14:textId="51218C5C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HORIZONTAL : 90°</w:t>
            </w:r>
          </w:p>
          <w:p w14:paraId="4FAEBE33" w14:textId="56D0BAAC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VERTICAL : 30°</w:t>
            </w:r>
          </w:p>
          <w:p w14:paraId="7DC37A8C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Transductores</w:t>
            </w:r>
          </w:p>
          <w:p w14:paraId="172AB114" w14:textId="3BF318E3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GAMA COMPLETA: 8 x 4.0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>, 1.0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vc</w:t>
            </w:r>
            <w:proofErr w:type="spellEnd"/>
          </w:p>
          <w:p w14:paraId="0BED65FF" w14:textId="61BA6ABD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ALTAVOZ DE BAJOS: 15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>, 3,0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vc</w:t>
            </w:r>
            <w:proofErr w:type="spellEnd"/>
          </w:p>
          <w:p w14:paraId="2D6E9B7D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Sección de entrada/Sección de salida</w:t>
            </w:r>
          </w:p>
          <w:p w14:paraId="1D33D119" w14:textId="0C71FA2B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SEÑAL DE ENTRADA: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bal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/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unbal</w:t>
            </w:r>
            <w:proofErr w:type="spellEnd"/>
          </w:p>
          <w:p w14:paraId="034DD139" w14:textId="3A67022F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ENTRADA: XLR, conector</w:t>
            </w:r>
          </w:p>
          <w:p w14:paraId="13207EDB" w14:textId="4AD5C618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SALIDA: XLR</w:t>
            </w:r>
          </w:p>
          <w:p w14:paraId="40D2BEF3" w14:textId="16CE996A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SENSIBILIDAD DE ENTRADA: 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(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-2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/ + 4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) y/o (-2.4 </w:t>
            </w:r>
            <w:proofErr w:type="spellStart"/>
            <w:r w:rsidR="00FE0C7F"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/ + 3.8 </w:t>
            </w:r>
            <w:proofErr w:type="spellStart"/>
            <w:r w:rsidR="00FE0C7F"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="00FE0C7F" w:rsidRPr="00DA287E">
              <w:rPr>
                <w:rFonts w:ascii="Agency FB" w:hAnsi="Agency FB" w:cstheme="minorHAnsi"/>
                <w:lang w:eastAsia="es-PE"/>
              </w:rPr>
              <w:t>)</w:t>
            </w:r>
          </w:p>
          <w:p w14:paraId="6FF444A5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Sección de proceso</w:t>
            </w:r>
          </w:p>
          <w:p w14:paraId="07A8B27D" w14:textId="513A2F52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FRECUENCIAS DE CRUCE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MINIMA</w:t>
            </w:r>
            <w:r w:rsidRPr="00DA287E">
              <w:rPr>
                <w:rFonts w:ascii="Agency FB" w:hAnsi="Agency FB" w:cstheme="minorHAnsi"/>
                <w:lang w:eastAsia="es-PE"/>
              </w:rPr>
              <w:t>: 1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5</w:t>
            </w:r>
            <w:r w:rsidRPr="00DA287E">
              <w:rPr>
                <w:rFonts w:ascii="Agency FB" w:hAnsi="Agency FB" w:cstheme="minorHAnsi"/>
                <w:lang w:eastAsia="es-PE"/>
              </w:rPr>
              <w:t>0 Hz</w:t>
            </w:r>
          </w:p>
          <w:p w14:paraId="7DBFE324" w14:textId="58E7EF10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PROTECCIONES: Térmico, RMS</w:t>
            </w:r>
          </w:p>
          <w:p w14:paraId="6E359136" w14:textId="0E9FD672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LIMITADOR: Límite suave</w:t>
            </w:r>
          </w:p>
          <w:p w14:paraId="55CEA472" w14:textId="07C8E385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CONTROLES: Volumen, EQ</w:t>
            </w:r>
          </w:p>
          <w:p w14:paraId="73879ADA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Sección de potencia</w:t>
            </w:r>
          </w:p>
          <w:p w14:paraId="417AFF59" w14:textId="77777777" w:rsidR="00FE0C7F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POTENCIA TOTAL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MINIMA DE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: </w:t>
            </w:r>
          </w:p>
          <w:p w14:paraId="7A44E38A" w14:textId="26A2D68B" w:rsidR="00A026FA" w:rsidRPr="006B5CE3" w:rsidRDefault="00FE0C7F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ab/>
            </w:r>
            <w:r w:rsidR="00A026FA" w:rsidRPr="006B5CE3">
              <w:rPr>
                <w:rFonts w:ascii="Agency FB" w:hAnsi="Agency FB" w:cstheme="minorHAnsi"/>
                <w:lang w:eastAsia="es-PE"/>
              </w:rPr>
              <w:t>1</w:t>
            </w:r>
            <w:r w:rsidRPr="006B5CE3">
              <w:rPr>
                <w:rFonts w:ascii="Agency FB" w:hAnsi="Agency FB" w:cstheme="minorHAnsi"/>
                <w:lang w:eastAsia="es-PE"/>
              </w:rPr>
              <w:t>3</w:t>
            </w:r>
            <w:r w:rsidR="00A026FA" w:rsidRPr="006B5CE3">
              <w:rPr>
                <w:rFonts w:ascii="Agency FB" w:hAnsi="Agency FB" w:cstheme="minorHAnsi"/>
                <w:lang w:eastAsia="es-PE"/>
              </w:rPr>
              <w:t xml:space="preserve">00 W pico, </w:t>
            </w:r>
            <w:r w:rsidRPr="006B5CE3">
              <w:rPr>
                <w:rFonts w:ascii="Agency FB" w:hAnsi="Agency FB" w:cstheme="minorHAnsi"/>
                <w:lang w:eastAsia="es-PE"/>
              </w:rPr>
              <w:t>6</w:t>
            </w:r>
            <w:r w:rsidR="00A026FA" w:rsidRPr="006B5CE3">
              <w:rPr>
                <w:rFonts w:ascii="Agency FB" w:hAnsi="Agency FB" w:cstheme="minorHAnsi"/>
                <w:lang w:eastAsia="es-PE"/>
              </w:rPr>
              <w:t>00 W RMS</w:t>
            </w:r>
          </w:p>
          <w:p w14:paraId="2E9508E4" w14:textId="0B41E398" w:rsidR="00A026FA" w:rsidRPr="00DA287E" w:rsidRDefault="00FE0C7F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B5CE3">
              <w:rPr>
                <w:rFonts w:ascii="Agency FB" w:hAnsi="Agency FB" w:cstheme="minorHAnsi"/>
                <w:lang w:eastAsia="es-PE"/>
              </w:rPr>
              <w:lastRenderedPageBreak/>
              <w:tab/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AGUDOS: </w:t>
            </w:r>
            <w:r w:rsidRPr="00DA287E">
              <w:rPr>
                <w:rFonts w:ascii="Agency FB" w:hAnsi="Agency FB" w:cstheme="minorHAnsi"/>
                <w:lang w:eastAsia="es-PE"/>
              </w:rPr>
              <w:t>250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W pico, </w:t>
            </w:r>
            <w:r w:rsidRPr="00DA287E">
              <w:rPr>
                <w:rFonts w:ascii="Agency FB" w:hAnsi="Agency FB" w:cstheme="minorHAnsi"/>
                <w:lang w:eastAsia="es-PE"/>
              </w:rPr>
              <w:t>180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W RMS</w:t>
            </w:r>
          </w:p>
          <w:p w14:paraId="04A1F19F" w14:textId="0E2BAD56" w:rsidR="00A026FA" w:rsidRPr="00DA287E" w:rsidRDefault="00FE0C7F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ab/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BAJAS FRECUENCIAS: </w:t>
            </w:r>
            <w:r w:rsidRPr="00DA287E">
              <w:rPr>
                <w:rFonts w:ascii="Agency FB" w:hAnsi="Agency FB" w:cstheme="minorHAnsi"/>
                <w:lang w:eastAsia="es-PE"/>
              </w:rPr>
              <w:t>900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W pico, </w:t>
            </w:r>
            <w:r w:rsidRPr="00DA287E">
              <w:rPr>
                <w:rFonts w:ascii="Agency FB" w:hAnsi="Agency FB" w:cstheme="minorHAnsi"/>
                <w:lang w:eastAsia="es-PE"/>
              </w:rPr>
              <w:t>45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>0 W RMS</w:t>
            </w:r>
          </w:p>
          <w:p w14:paraId="62FFAAC6" w14:textId="03CAB3AE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REFRIGERACIÓN: Convección</w:t>
            </w:r>
          </w:p>
          <w:p w14:paraId="1AF23E3B" w14:textId="6761A56F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CONEXIONES DE UNIDADES: VDE</w:t>
            </w:r>
          </w:p>
          <w:p w14:paraId="5A4A2A29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Cumplimiento estándar</w:t>
            </w:r>
          </w:p>
          <w:p w14:paraId="3E003DF8" w14:textId="36A64826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MARCA CE: sí</w:t>
            </w:r>
          </w:p>
          <w:p w14:paraId="2A562C7C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Especificaciones físicas</w:t>
            </w:r>
          </w:p>
          <w:p w14:paraId="4E54CC2F" w14:textId="15011534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MATERIAL DE CAJA: Contrachapado de abedul báltico</w:t>
            </w:r>
          </w:p>
          <w:p w14:paraId="325E1A9B" w14:textId="726461C4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COLOR: Negro</w:t>
            </w:r>
          </w:p>
          <w:p w14:paraId="4F6DBC5E" w14:textId="4F8CDF8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Tamaño máximo:</w:t>
            </w:r>
          </w:p>
          <w:p w14:paraId="67019078" w14:textId="37F5B8ED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ALTURA: 2200 mm / 86,61 pulgadas</w:t>
            </w:r>
          </w:p>
          <w:p w14:paraId="7BAE35F4" w14:textId="76001A51" w:rsidR="00F254A1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ANCHURA TOTAL: 410 mm / 16,14 pulgadas</w:t>
            </w:r>
          </w:p>
        </w:tc>
      </w:tr>
      <w:tr w:rsidR="004E4090" w:rsidRPr="00DA287E" w14:paraId="60572570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602F1019" w14:textId="2B0A606B" w:rsidR="004E4090" w:rsidRPr="00DA287E" w:rsidRDefault="004E4090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1276" w:type="dxa"/>
            <w:vAlign w:val="center"/>
          </w:tcPr>
          <w:p w14:paraId="08897F7A" w14:textId="148143C2" w:rsidR="004E4090" w:rsidRPr="00DA287E" w:rsidRDefault="00FE0C7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Mini Arreglo Tipo II</w:t>
            </w:r>
          </w:p>
        </w:tc>
        <w:tc>
          <w:tcPr>
            <w:tcW w:w="997" w:type="dxa"/>
            <w:noWrap/>
            <w:vAlign w:val="center"/>
          </w:tcPr>
          <w:p w14:paraId="1DEC307B" w14:textId="46EAAA2E" w:rsidR="004E4090" w:rsidRPr="00DA287E" w:rsidRDefault="004E4090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090CAB44" w14:textId="2640107F" w:rsidR="004E4090" w:rsidRPr="00DA287E" w:rsidRDefault="004E4090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17DB3771" w14:textId="7BB97813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Respuesta en frecuencia: 40 Hz ÷ 20000 Hz</w:t>
            </w:r>
          </w:p>
          <w:p w14:paraId="776D8CEB" w14:textId="6151AC62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SPL máx. a 1 m: 128 dB</w:t>
            </w:r>
          </w:p>
          <w:p w14:paraId="3B5E151A" w14:textId="15CC97FD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horizontal: 120°</w:t>
            </w:r>
          </w:p>
          <w:p w14:paraId="2816889F" w14:textId="02C59B80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vertical: 30°</w:t>
            </w:r>
          </w:p>
          <w:p w14:paraId="720531FC" w14:textId="46DB6395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Rango completo: 8 x 2.0'', 1.0''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v.c</w:t>
            </w:r>
            <w:proofErr w:type="spellEnd"/>
          </w:p>
          <w:p w14:paraId="71EB3C4A" w14:textId="267DB596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Altavoz de bajos: 12'', 2.5''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v.c</w:t>
            </w:r>
            <w:proofErr w:type="spellEnd"/>
          </w:p>
          <w:p w14:paraId="20035261" w14:textId="125B9CC1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Señal de entrada: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bal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/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unbal</w:t>
            </w:r>
            <w:proofErr w:type="spellEnd"/>
          </w:p>
          <w:p w14:paraId="47C3567B" w14:textId="15F2FD2B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entrada: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XLR, Jack</w:t>
            </w:r>
          </w:p>
          <w:p w14:paraId="55635952" w14:textId="2FDA7B4D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salida: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XLR</w:t>
            </w:r>
          </w:p>
          <w:p w14:paraId="4B68F8A7" w14:textId="635D8C17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Sensibilidad de entrada: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-2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/+4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</w:p>
          <w:p w14:paraId="54299EF3" w14:textId="6510EC95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Frecuencias de cruce: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220 Hz</w:t>
            </w:r>
          </w:p>
          <w:p w14:paraId="7CA70F77" w14:textId="1FDE5638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Protecciones: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Thermal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, RMS</w:t>
            </w:r>
          </w:p>
          <w:p w14:paraId="6BC88320" w14:textId="6C06A027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Limitador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>:</w:t>
            </w:r>
            <w:r w:rsidR="00FE0C7F" w:rsidRPr="00DA287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Soft Limiter</w:t>
            </w:r>
          </w:p>
          <w:p w14:paraId="45188681" w14:textId="4F12ABD1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Controles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>:</w:t>
            </w:r>
            <w:r w:rsidR="00FE0C7F" w:rsidRPr="00DA287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Volume, Boost, Mic/Line</w:t>
            </w:r>
          </w:p>
          <w:p w14:paraId="58CEB317" w14:textId="7CEC2272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Potencia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 xml:space="preserve"> total:</w:t>
            </w:r>
            <w:r w:rsidR="00FE0C7F" w:rsidRPr="00DA287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1400 W Peak, 700 W RMS</w:t>
            </w:r>
          </w:p>
          <w:p w14:paraId="3D2F5189" w14:textId="36AD9B2E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Agudos: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400 W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Peak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, 200 W RMS</w:t>
            </w:r>
          </w:p>
          <w:p w14:paraId="5039C3E4" w14:textId="1E1A4D94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Bajas frecuencias: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1000 W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Peak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, 500 W RMS</w:t>
            </w:r>
          </w:p>
          <w:p w14:paraId="14636976" w14:textId="26DD94B8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Enfriamiento: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Convection</w:t>
            </w:r>
            <w:proofErr w:type="spellEnd"/>
          </w:p>
          <w:p w14:paraId="4612F53E" w14:textId="35287012" w:rsidR="004E4090" w:rsidRPr="00DA287E" w:rsidRDefault="004E4090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Conexiones: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VDE</w:t>
            </w:r>
          </w:p>
        </w:tc>
      </w:tr>
      <w:tr w:rsidR="00FE0C7F" w:rsidRPr="00DA287E" w14:paraId="25720321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25F57540" w14:textId="5FEEC552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1276" w:type="dxa"/>
            <w:vAlign w:val="center"/>
          </w:tcPr>
          <w:p w14:paraId="549FE6D9" w14:textId="4797257F" w:rsidR="00FE0C7F" w:rsidRPr="00DA287E" w:rsidRDefault="00FE0C7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MIXER</w:t>
            </w:r>
          </w:p>
        </w:tc>
        <w:tc>
          <w:tcPr>
            <w:tcW w:w="997" w:type="dxa"/>
            <w:noWrap/>
            <w:vAlign w:val="center"/>
          </w:tcPr>
          <w:p w14:paraId="1568016E" w14:textId="3AEEBDE7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520B9055" w14:textId="3805ED8D" w:rsidR="00FE0C7F" w:rsidRPr="00DA287E" w:rsidRDefault="00FE0C7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48B55B70" w14:textId="7C8601A8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Especificaciones técnicas </w:t>
            </w:r>
            <w:r w:rsidR="00A66A9D" w:rsidRPr="00DA287E">
              <w:rPr>
                <w:rFonts w:ascii="Agency FB" w:hAnsi="Agency FB" w:cstheme="minorHAnsi"/>
                <w:lang w:eastAsia="es-PE"/>
              </w:rPr>
              <w:t>mínimas</w:t>
            </w:r>
            <w:r w:rsidRPr="00DA287E">
              <w:rPr>
                <w:rFonts w:ascii="Agency FB" w:hAnsi="Agency FB" w:cstheme="minorHAnsi"/>
                <w:lang w:eastAsia="es-PE"/>
              </w:rPr>
              <w:t>:</w:t>
            </w:r>
          </w:p>
          <w:p w14:paraId="3D94D366" w14:textId="2DB30AE2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Canales: 8</w:t>
            </w:r>
          </w:p>
          <w:p w14:paraId="117EB9CA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Entradas – Preamplificadores de micrófono: Combo de 2 x XLR, 2 x XLR de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</w:p>
          <w:p w14:paraId="45AA23AB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Poder fantasma: 2 canales</w:t>
            </w:r>
          </w:p>
          <w:p w14:paraId="2B27342F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Entradas – Línea: 2 x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TRS (est</w:t>
            </w:r>
            <w:r w:rsidRPr="00DA287E">
              <w:rPr>
                <w:rFonts w:ascii="Agency FB" w:hAnsi="Agency FB" w:cs="Agency FB"/>
                <w:lang w:eastAsia="es-PE"/>
              </w:rPr>
              <w:t>é</w:t>
            </w:r>
            <w:r w:rsidRPr="00DA287E">
              <w:rPr>
                <w:rFonts w:ascii="Agency FB" w:hAnsi="Agency FB" w:cstheme="minorHAnsi"/>
                <w:lang w:eastAsia="es-PE"/>
              </w:rPr>
              <w:t>reo/mono)</w:t>
            </w:r>
          </w:p>
          <w:p w14:paraId="1A09B97B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Entradas – Otros: 2 x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TRS (Hi-Z)</w:t>
            </w:r>
          </w:p>
          <w:p w14:paraId="021D6553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Salidas – Principal: 2 x XLR (L/R), 2 x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TRS (monitor)</w:t>
            </w:r>
          </w:p>
          <w:p w14:paraId="3CC4D920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Envíos auxiliares: 2 envíos de efectos, 2 envíos de monitor</w:t>
            </w:r>
          </w:p>
          <w:p w14:paraId="66CA6E67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Auriculares: 1×1/4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</w:p>
          <w:p w14:paraId="7EFA44B9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USB: 1 x Tipo B (audio), 1 x Tipo Micro-B (alimentación)</w:t>
            </w:r>
          </w:p>
          <w:p w14:paraId="622B6F35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Conectividad informática: USB (transmisión 2 x 4, grabación 10 x 4)</w:t>
            </w:r>
          </w:p>
          <w:p w14:paraId="375623CA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DA287E">
              <w:rPr>
                <w:rFonts w:ascii="Agency FB" w:hAnsi="Agency FB" w:cstheme="minorHAnsi"/>
                <w:lang w:val="en-US" w:eastAsia="es-PE"/>
              </w:rPr>
              <w:t>Bluetooth: v4.0</w:t>
            </w:r>
          </w:p>
          <w:p w14:paraId="7EA7C68F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Remoto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>: 1 x 1/4</w:t>
            </w:r>
            <w:r w:rsidRPr="00DA287E">
              <w:rPr>
                <w:rFonts w:ascii="Arial" w:hAnsi="Arial" w:cs="Arial"/>
                <w:lang w:val="en-US" w:eastAsia="es-PE"/>
              </w:rPr>
              <w:t>″</w:t>
            </w:r>
            <w:r w:rsidRPr="00DA287E">
              <w:rPr>
                <w:rFonts w:ascii="Agency FB" w:hAnsi="Agency FB" w:cstheme="minorHAnsi"/>
                <w:lang w:val="en-US" w:eastAsia="es-PE"/>
              </w:rPr>
              <w:t xml:space="preserve"> (pedal)</w:t>
            </w:r>
          </w:p>
          <w:p w14:paraId="05795569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Faders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: 6x60mm</w:t>
            </w:r>
          </w:p>
          <w:p w14:paraId="1ACE618F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Resolución A/D: 24 bits/48 kHz</w:t>
            </w:r>
          </w:p>
          <w:p w14:paraId="7A815834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Bandas de ecualización: EQ de 4 bandas (canal), EQ de 9 bandas (principal/monitor)</w:t>
            </w:r>
          </w:p>
          <w:p w14:paraId="4F21B801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Efectos: 2 motores FX, 16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preajustes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FX, 12 reverberaciones</w:t>
            </w:r>
          </w:p>
          <w:p w14:paraId="5B9CD49B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Procesamiento de la señal: Compresión, Limitador</w:t>
            </w:r>
          </w:p>
          <w:p w14:paraId="2A951AC6" w14:textId="5D04B81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Software: Aplicación remota FLOW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Mix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(Android/iOS) o similar</w:t>
            </w:r>
          </w:p>
          <w:p w14:paraId="20ACEFA3" w14:textId="3530D6F3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Fuente de alimentación: Alimentado por bus USB</w:t>
            </w:r>
          </w:p>
        </w:tc>
      </w:tr>
      <w:tr w:rsidR="006B5CE3" w:rsidRPr="00DA287E" w14:paraId="5BD56D32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6528A65E" w14:textId="50673824" w:rsidR="006B5CE3" w:rsidRPr="00DA287E" w:rsidRDefault="006B5CE3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04</w:t>
            </w:r>
          </w:p>
        </w:tc>
        <w:tc>
          <w:tcPr>
            <w:tcW w:w="1276" w:type="dxa"/>
            <w:vAlign w:val="center"/>
          </w:tcPr>
          <w:p w14:paraId="638352E4" w14:textId="6B29209B" w:rsidR="006B5CE3" w:rsidRPr="00DA287E" w:rsidRDefault="006B5CE3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B5CE3">
              <w:rPr>
                <w:rFonts w:ascii="Agency FB" w:eastAsia="Times New Roman" w:hAnsi="Agency FB" w:cstheme="minorHAnsi"/>
                <w:lang w:eastAsia="es-PE"/>
              </w:rPr>
              <w:t>CABLEADO</w:t>
            </w:r>
          </w:p>
        </w:tc>
        <w:tc>
          <w:tcPr>
            <w:tcW w:w="997" w:type="dxa"/>
            <w:noWrap/>
            <w:vAlign w:val="center"/>
          </w:tcPr>
          <w:p w14:paraId="400FE080" w14:textId="4C78C7E7" w:rsidR="006B5CE3" w:rsidRPr="00DA287E" w:rsidRDefault="006B5CE3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3C246904" w14:textId="33EB9401" w:rsidR="006B5CE3" w:rsidRPr="00DA287E" w:rsidRDefault="006B5CE3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4961" w:type="dxa"/>
            <w:vAlign w:val="center"/>
          </w:tcPr>
          <w:p w14:paraId="5BDD821D" w14:textId="199B9B35" w:rsidR="006B5CE3" w:rsidRPr="00DA287E" w:rsidRDefault="006B5CE3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B5CE3">
              <w:rPr>
                <w:rFonts w:ascii="Agency FB" w:hAnsi="Agency FB" w:cstheme="minorHAnsi"/>
                <w:lang w:eastAsia="es-PE"/>
              </w:rPr>
              <w:t>CABLEADO DE 15 METROS XLR/XLR CON CONETRORES NEUTRIK</w:t>
            </w:r>
          </w:p>
        </w:tc>
      </w:tr>
    </w:tbl>
    <w:p w14:paraId="6E605DAD" w14:textId="019DFD5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lastRenderedPageBreak/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08DD9F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BBC4" w14:textId="77777777" w:rsidR="007C4021" w:rsidRDefault="007C4021" w:rsidP="00FF2335">
      <w:pPr>
        <w:spacing w:after="0" w:line="240" w:lineRule="auto"/>
      </w:pPr>
      <w:r>
        <w:separator/>
      </w:r>
    </w:p>
  </w:endnote>
  <w:endnote w:type="continuationSeparator" w:id="0">
    <w:p w14:paraId="31B369A2" w14:textId="77777777" w:rsidR="007C4021" w:rsidRDefault="007C402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F854" w14:textId="77777777" w:rsidR="007C4021" w:rsidRDefault="007C4021" w:rsidP="00FF2335">
      <w:pPr>
        <w:spacing w:after="0" w:line="240" w:lineRule="auto"/>
      </w:pPr>
      <w:r>
        <w:separator/>
      </w:r>
    </w:p>
  </w:footnote>
  <w:footnote w:type="continuationSeparator" w:id="0">
    <w:p w14:paraId="7C09A701" w14:textId="77777777" w:rsidR="007C4021" w:rsidRDefault="007C402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6</cp:revision>
  <cp:lastPrinted>2022-03-17T22:52:00Z</cp:lastPrinted>
  <dcterms:created xsi:type="dcterms:W3CDTF">2022-04-18T17:15:00Z</dcterms:created>
  <dcterms:modified xsi:type="dcterms:W3CDTF">2022-05-11T16:33:00Z</dcterms:modified>
</cp:coreProperties>
</file>