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PLAZO DE ENTREGA</w:t>
      </w:r>
    </w:p>
    <w:p>
      <w:pPr>
        <w:rPr>
          <w:rFonts w:hint="default"/>
        </w:rPr>
      </w:pPr>
      <w:r>
        <w:rPr>
          <w:rFonts w:hint="default"/>
        </w:rPr>
        <w:t>EL PLAZO DE ENTREGA SERÁ DE 10 DÍAS CALENDARIOS CONTADOS A PARTIR DEL DÍA SIGUIENTE DE NOTIFICADA LA ORDEN DE COMPRA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LUGAR DE ENTREGA</w:t>
      </w:r>
    </w:p>
    <w:p>
      <w:pPr>
        <w:rPr>
          <w:rFonts w:hint="default"/>
        </w:rPr>
      </w:pPr>
      <w:r>
        <w:rPr>
          <w:rFonts w:hint="default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FUENTE DE FINANCIAMIENTO</w:t>
      </w:r>
    </w:p>
    <w:p>
      <w:pPr>
        <w:rPr>
          <w:rFonts w:hint="default"/>
        </w:rPr>
      </w:pPr>
      <w:r>
        <w:rPr>
          <w:rFonts w:hint="default"/>
        </w:rPr>
        <w:t>RECURSOS ORDINARIOS</w:t>
      </w:r>
    </w:p>
    <w:p>
      <w:pPr>
        <w:rPr>
          <w:rFonts w:hint="default"/>
        </w:rPr>
      </w:pPr>
      <w:r>
        <w:rPr>
          <w:rFonts w:hint="default"/>
        </w:rPr>
        <w:t>TIPO DE RECURSO: 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 ADJUNTA </w:t>
      </w:r>
    </w:p>
    <w:p>
      <w:pPr>
        <w:rPr>
          <w:rFonts w:hint="default"/>
        </w:rPr>
      </w:pPr>
      <w:r>
        <w:rPr>
          <w:rFonts w:hint="default"/>
        </w:rPr>
        <w:t>* ESPECIFICACIONES TECNICAS***</w:t>
      </w:r>
    </w:p>
    <w:p>
      <w:pPr>
        <w:rPr>
          <w:rFonts w:hint="default"/>
        </w:rPr>
      </w:pPr>
      <w:r>
        <w:rPr>
          <w:rFonts w:hint="default"/>
        </w:rPr>
        <w:t>* TÉRMINOS DE REFERENCIA***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EQUIPAMIENTO Y MOBILIARIO</w:t>
      </w:r>
    </w:p>
    <w:p>
      <w:pPr>
        <w:rPr>
          <w:rFonts w:hint="default"/>
        </w:rPr>
      </w:pPr>
      <w:r>
        <w:rPr>
          <w:rFonts w:hint="default"/>
        </w:rPr>
        <w:t>2.6. 3  2. 2  1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EQUIPOS</w:t>
      </w:r>
    </w:p>
    <w:p>
      <w:pPr>
        <w:rPr>
          <w:rFonts w:hint="default"/>
        </w:rPr>
      </w:pPr>
      <w:r>
        <w:rPr>
          <w:rFonts w:hint="default"/>
        </w:rPr>
        <w:t>2.6. 3  2. 2  2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MOBILIARIO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INSTALACIONES EDUCATIVAS COSTO DIRECTO</w:t>
      </w:r>
    </w:p>
    <w:p>
      <w:pPr>
        <w:rPr>
          <w:rFonts w:hint="default"/>
        </w:rPr>
      </w:pPr>
      <w:r>
        <w:rPr>
          <w:rFonts w:hint="default"/>
        </w:rPr>
        <w:t>2.6. 2  2. 2  4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BIENES</w:t>
      </w:r>
    </w:p>
    <w:p>
      <w:pPr>
        <w:rPr>
          <w:rFonts w:hint="default"/>
        </w:rPr>
      </w:pPr>
      <w:r>
        <w:rPr>
          <w:rFonts w:hint="default"/>
        </w:rPr>
        <w:t>2.6. 2  2. 2  5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SERVICIO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ASI MISMO </w:t>
      </w:r>
    </w:p>
    <w:p>
      <w:bookmarkStart w:id="0" w:name="_GoBack"/>
      <w:r>
        <w:rPr>
          <w:rFonts w:hint="default"/>
        </w:rPr>
        <w:t>EL PRESUPUESTO DE ESTE PEDIDO SE TIENE QUE VINCULAR CON DECRETO SUPREMO N°144-2022-EF.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40456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2022-09-21T00:04:00Z</dcterms:created>
  <dc:creator>pc</dc:creator>
  <cp:lastModifiedBy>pc</cp:lastModifiedBy>
  <dcterms:modified xsi:type="dcterms:W3CDTF">2022-09-21T00:14:08Z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