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419"/>
          <w:tab w:val="right" w:pos="8838"/>
        </w:tabs>
        <w:spacing w:after="0" w:line="240" w:lineRule="auto"/>
        <w:ind w:left="142"/>
        <w:jc w:val="center"/>
        <w:rPr>
          <w:rFonts w:ascii="Agency FB" w:hAnsi="Agency FB" w:eastAsia="Calibri" w:cs="Calibri"/>
          <w:b/>
          <w:sz w:val="24"/>
          <w:szCs w:val="24"/>
          <w:u w:val="single"/>
          <w:lang w:val="es-ES"/>
        </w:rPr>
      </w:pPr>
      <w:r>
        <w:rPr>
          <w:rFonts w:ascii="Agency FB" w:hAnsi="Agency FB" w:eastAsia="Calibri" w:cs="Arial"/>
          <w:b/>
          <w:sz w:val="24"/>
          <w:szCs w:val="24"/>
          <w:u w:val="single"/>
          <w:lang w:val="es-ES"/>
        </w:rPr>
        <w:t xml:space="preserve">ESPECIFICACIONES TÉCNICAS PARA LA CONTRATACIÓN DE BIENES– </w:t>
      </w:r>
      <w:r>
        <w:rPr>
          <w:rFonts w:ascii="Agency FB" w:hAnsi="Agency FB" w:cstheme="minorHAnsi"/>
          <w:b/>
          <w:bCs/>
          <w:sz w:val="24"/>
          <w:szCs w:val="24"/>
          <w:u w:val="single"/>
        </w:rPr>
        <w:t>BANCOS Y SILLAS</w:t>
      </w:r>
      <w:r>
        <w:rPr>
          <w:rFonts w:ascii="Agency FB" w:hAnsi="Agency FB" w:eastAsia="Calibri" w:cs="Calibri"/>
          <w:b/>
          <w:sz w:val="24"/>
          <w:szCs w:val="24"/>
          <w:u w:val="single"/>
          <w:lang w:val="es-ES"/>
        </w:rPr>
        <w:t>.</w:t>
      </w:r>
    </w:p>
    <w:p>
      <w:pPr>
        <w:tabs>
          <w:tab w:val="center" w:pos="4419"/>
          <w:tab w:val="right" w:pos="8838"/>
        </w:tabs>
        <w:spacing w:after="0" w:line="240" w:lineRule="auto"/>
        <w:ind w:left="142"/>
        <w:rPr>
          <w:rFonts w:ascii="Agency FB" w:hAnsi="Agency FB" w:eastAsia="Times New Roman" w:cs="Calibri"/>
          <w:b/>
          <w:sz w:val="24"/>
          <w:szCs w:val="24"/>
          <w:lang w:val="es-ES" w:eastAsia="es-PE"/>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 xml:space="preserve">DENOMINACIÓN DE LA CONTRATACIÓN </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sz w:val="24"/>
          <w:szCs w:val="24"/>
          <w:lang w:val="es-ES"/>
        </w:rPr>
        <w:t xml:space="preserve">Adquisición de </w:t>
      </w:r>
      <w:r>
        <w:rPr>
          <w:rFonts w:ascii="Agency FB" w:hAnsi="Agency FB" w:cstheme="minorHAnsi"/>
          <w:b/>
          <w:bCs/>
          <w:sz w:val="24"/>
          <w:szCs w:val="24"/>
        </w:rPr>
        <w:t>BANCOS Y SILLAS PARA LABORATORIO</w:t>
      </w:r>
      <w:r>
        <w:rPr>
          <w:rFonts w:ascii="Agency FB" w:hAnsi="Agency FB" w:eastAsia="Calibri" w:cs="Calibri"/>
          <w:b/>
          <w:sz w:val="24"/>
          <w:szCs w:val="24"/>
          <w:lang w:val="es-ES"/>
        </w:rPr>
        <w:t>.</w:t>
      </w:r>
      <w:r>
        <w:rPr>
          <w:rFonts w:ascii="Agency FB" w:hAnsi="Agency FB" w:eastAsia="Calibri" w:cs="Calibri"/>
          <w:b/>
          <w:bCs/>
          <w:sz w:val="24"/>
          <w:szCs w:val="24"/>
          <w:lang w:val="es-ES"/>
        </w:rPr>
        <w:t>,</w:t>
      </w:r>
      <w:r>
        <w:rPr>
          <w:rFonts w:ascii="Agency FB" w:hAnsi="Agency FB" w:eastAsia="Calibri" w:cs="Calibri"/>
          <w:sz w:val="24"/>
          <w:szCs w:val="24"/>
          <w:lang w:val="es-ES"/>
        </w:rPr>
        <w:t xml:space="preserve"> PARA EL PROYECTO </w:t>
      </w:r>
      <w:r>
        <w:rPr>
          <w:rFonts w:ascii="Agency FB" w:hAnsi="Agency FB" w:eastAsia="Calibri" w:cs="Calibri"/>
          <w:sz w:val="24"/>
          <w:szCs w:val="24"/>
          <w:lang w:val="es-ES" w:eastAsia="es-ES"/>
        </w:rPr>
        <w:t>MEJORAMIENTO DEL SERVICIO EDUCATIVO EN LA I.E.P.  N° 54002 SANTA ROSA E I.E.S. SANTA ROSA,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FINALIDAD PÚBLICA</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sz w:val="24"/>
          <w:szCs w:val="24"/>
          <w:lang w:val="es-ES"/>
        </w:rPr>
        <w:t xml:space="preserve">El presente proceso de selección busca contar con </w:t>
      </w:r>
      <w:r>
        <w:rPr>
          <w:rFonts w:ascii="Agency FB" w:hAnsi="Agency FB" w:cstheme="minorHAnsi"/>
          <w:b/>
          <w:bCs/>
          <w:sz w:val="24"/>
          <w:szCs w:val="24"/>
        </w:rPr>
        <w:t>BANCOS Y SILLAS PARA LABORATORIO</w:t>
      </w:r>
      <w:r>
        <w:rPr>
          <w:rFonts w:ascii="Agency FB" w:hAnsi="Agency FB" w:eastAsia="Calibri" w:cs="Calibri"/>
          <w:b/>
          <w:sz w:val="24"/>
          <w:szCs w:val="24"/>
          <w:lang w:val="es-ES"/>
        </w:rPr>
        <w:t xml:space="preserve">. </w:t>
      </w:r>
      <w:r>
        <w:rPr>
          <w:rFonts w:ascii="Agency FB" w:hAnsi="Agency FB" w:eastAsia="SimSun" w:cs="Calibri"/>
          <w:kern w:val="28"/>
          <w:sz w:val="24"/>
          <w:szCs w:val="24"/>
          <w:lang w:val="es-ES" w:eastAsia="es-ES"/>
        </w:rPr>
        <w:t xml:space="preserve">Para dotar de mobiliario a la obra: </w:t>
      </w:r>
      <w:r>
        <w:rPr>
          <w:rFonts w:ascii="Agency FB" w:hAnsi="Agency FB" w:eastAsia="Calibri" w:cs="Calibri"/>
          <w:sz w:val="24"/>
          <w:szCs w:val="24"/>
          <w:lang w:val="es-ES" w:eastAsia="es-ES"/>
        </w:rPr>
        <w:t>MEJORAMIENTO DEL SERVICIO EDUCATIVO EN LA I.E.P.  N° 54002 SANTA ROSA E I.E.S. SANTA ROSA,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ANTECEDENTES</w:t>
      </w:r>
    </w:p>
    <w:p>
      <w:pPr>
        <w:spacing w:after="200" w:line="276" w:lineRule="auto"/>
        <w:ind w:left="142"/>
        <w:contextualSpacing/>
        <w:jc w:val="both"/>
        <w:rPr>
          <w:rFonts w:ascii="Agency FB" w:hAnsi="Agency FB" w:eastAsia="SimSun" w:cs="Arial"/>
          <w:kern w:val="28"/>
          <w:sz w:val="24"/>
          <w:szCs w:val="24"/>
          <w:lang w:val="es-ES" w:eastAsia="es-ES"/>
        </w:rPr>
      </w:pPr>
      <w:r>
        <w:rPr>
          <w:rFonts w:ascii="Agency FB" w:hAnsi="Agency FB" w:eastAsia="SimSun" w:cs="Arial"/>
          <w:kern w:val="28"/>
          <w:sz w:val="24"/>
          <w:szCs w:val="24"/>
          <w:lang w:val="es-ES" w:eastAsia="es-ES"/>
        </w:rPr>
        <w:t>El proyecto</w:t>
      </w:r>
      <w:r>
        <w:rPr>
          <w:rFonts w:ascii="Agency FB" w:hAnsi="Agency FB" w:eastAsia="Calibri" w:cs="Arial"/>
          <w:sz w:val="24"/>
          <w:szCs w:val="24"/>
          <w:lang w:val="es-ES"/>
        </w:rPr>
        <w:t xml:space="preserve"> “MEJORAMIENTO DEL SERVICIO EDUCATIVO EN LA IEP N° 54002 SANTA ROSA E IES SANTA ROSA DEL DISTRITO ABANCAY, PROVINCIA DE ABANCAY, REGION APURIMAC</w:t>
      </w:r>
      <w:r>
        <w:rPr>
          <w:rFonts w:ascii="Agency FB" w:hAnsi="Agency FB" w:eastAsia="SimSun"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pPr>
        <w:spacing w:after="200" w:line="276" w:lineRule="auto"/>
        <w:ind w:left="142"/>
        <w:contextualSpacing/>
        <w:jc w:val="both"/>
        <w:rPr>
          <w:rFonts w:ascii="Agency FB" w:hAnsi="Agency FB" w:eastAsia="Calibri" w:cs="Arial"/>
          <w:sz w:val="24"/>
          <w:szCs w:val="24"/>
        </w:rPr>
      </w:pPr>
    </w:p>
    <w:p>
      <w:pPr>
        <w:numPr>
          <w:ilvl w:val="0"/>
          <w:numId w:val="1"/>
        </w:numPr>
        <w:spacing w:after="200" w:line="276" w:lineRule="auto"/>
        <w:ind w:left="142"/>
        <w:contextualSpacing/>
        <w:jc w:val="both"/>
        <w:rPr>
          <w:rFonts w:ascii="Agency FB" w:hAnsi="Agency FB" w:eastAsia="Calibri" w:cs="Arial"/>
          <w:b/>
          <w:sz w:val="24"/>
          <w:szCs w:val="24"/>
        </w:rPr>
      </w:pPr>
      <w:r>
        <w:rPr>
          <w:rFonts w:ascii="Agency FB" w:hAnsi="Agency FB" w:eastAsia="Calibri" w:cs="Arial"/>
          <w:b/>
          <w:sz w:val="24"/>
          <w:szCs w:val="24"/>
        </w:rPr>
        <w:t>OBJETIVOS DE LA CONTRATACIÓN</w:t>
      </w:r>
    </w:p>
    <w:p>
      <w:pPr>
        <w:spacing w:after="200" w:line="276" w:lineRule="auto"/>
        <w:ind w:left="142"/>
        <w:contextualSpacing/>
        <w:jc w:val="both"/>
        <w:rPr>
          <w:rFonts w:ascii="Agency FB" w:hAnsi="Agency FB" w:eastAsia="Calibri" w:cs="Calibri"/>
          <w:sz w:val="24"/>
          <w:szCs w:val="24"/>
          <w:lang w:val="es-ES"/>
        </w:rPr>
      </w:pPr>
      <w:r>
        <w:rPr>
          <w:rFonts w:ascii="Agency FB" w:hAnsi="Agency FB" w:eastAsia="Calibri" w:cs="Arial"/>
          <w:b/>
          <w:sz w:val="24"/>
          <w:szCs w:val="24"/>
          <w:lang w:val="es-ES"/>
        </w:rPr>
        <w:t xml:space="preserve">Adquirir </w:t>
      </w:r>
      <w:r>
        <w:rPr>
          <w:rFonts w:ascii="Agency FB" w:hAnsi="Agency FB" w:cstheme="minorHAnsi"/>
          <w:b/>
          <w:bCs/>
          <w:sz w:val="24"/>
          <w:szCs w:val="24"/>
        </w:rPr>
        <w:t>BANCOS PARA LABORATORIO</w:t>
      </w:r>
      <w:r>
        <w:rPr>
          <w:rFonts w:ascii="Agency FB" w:hAnsi="Agency FB" w:eastAsia="Calibri" w:cs="Calibri"/>
          <w:b/>
          <w:sz w:val="24"/>
          <w:szCs w:val="24"/>
          <w:lang w:val="es-ES"/>
        </w:rPr>
        <w:t xml:space="preserve">. </w:t>
      </w:r>
      <w:r>
        <w:rPr>
          <w:rFonts w:ascii="Agency FB" w:hAnsi="Agency FB" w:eastAsia="Calibri" w:cs="Calibri"/>
          <w:sz w:val="24"/>
          <w:szCs w:val="24"/>
          <w:lang w:val="es-ES"/>
        </w:rPr>
        <w:t>para continuar con las actividades que corresponde a la ejecución del componente equipamiento y mobiliario en la obra</w:t>
      </w:r>
      <w:r>
        <w:rPr>
          <w:rFonts w:ascii="Agency FB" w:hAnsi="Agency FB" w:eastAsia="Times New Roman" w:cs="Calibri"/>
          <w:sz w:val="24"/>
          <w:szCs w:val="24"/>
          <w:lang w:val="es-ES" w:eastAsia="es-PE"/>
        </w:rPr>
        <w:t xml:space="preserve"> </w:t>
      </w:r>
      <w:r>
        <w:rPr>
          <w:rFonts w:ascii="Agency FB" w:hAnsi="Agency FB" w:eastAsia="Calibri" w:cs="Calibri"/>
          <w:sz w:val="24"/>
          <w:szCs w:val="24"/>
          <w:lang w:val="es-ES"/>
        </w:rPr>
        <w:t>“</w:t>
      </w:r>
      <w:r>
        <w:rPr>
          <w:rFonts w:ascii="Agency FB" w:hAnsi="Agency FB" w:eastAsia="Calibri" w:cs="Calibri"/>
          <w:sz w:val="24"/>
          <w:szCs w:val="24"/>
          <w:lang w:val="es-ES" w:eastAsia="es-ES"/>
        </w:rPr>
        <w:t>MEJORAMIENTO DEL SERVICIO EDUCATIVO EN LA I.E.P.  N° 54002 SANTA ROSA E I.E.S. SANTA ROSA, DEL DISTRITO DE ABANCAY, PROVINCIA DE ABANCAY</w:t>
      </w:r>
      <w:r>
        <w:rPr>
          <w:rFonts w:ascii="Agency FB" w:hAnsi="Agency FB" w:eastAsia="Calibri" w:cs="Calibri"/>
          <w:sz w:val="24"/>
          <w:szCs w:val="24"/>
          <w:lang w:val="es-ES"/>
        </w:rPr>
        <w:t>, REGIÓN APURÍMAC”.</w:t>
      </w:r>
    </w:p>
    <w:p>
      <w:pPr>
        <w:spacing w:after="200" w:line="276" w:lineRule="auto"/>
        <w:ind w:left="142"/>
        <w:contextualSpacing/>
        <w:jc w:val="both"/>
        <w:rPr>
          <w:rFonts w:ascii="Agency FB" w:hAnsi="Agency FB" w:eastAsia="Times New Roman" w:cs="Calibri"/>
          <w:sz w:val="24"/>
          <w:szCs w:val="24"/>
          <w:lang w:val="es-ES" w:eastAsia="es-PE"/>
        </w:rPr>
      </w:pPr>
    </w:p>
    <w:p>
      <w:pPr>
        <w:numPr>
          <w:ilvl w:val="0"/>
          <w:numId w:val="1"/>
        </w:numPr>
        <w:spacing w:after="200" w:line="276" w:lineRule="auto"/>
        <w:ind w:left="142"/>
        <w:contextualSpacing/>
        <w:jc w:val="both"/>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ALCANCE Y DESCRIPCIÓN DE LOS BIENES A CONTRATAR.</w:t>
      </w: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5.1</w:t>
      </w:r>
      <w:r>
        <w:rPr>
          <w:rFonts w:ascii="Agency FB" w:hAnsi="Agency FB" w:eastAsia="SimSun" w:cs="Arial"/>
          <w:kern w:val="28"/>
          <w:sz w:val="24"/>
          <w:szCs w:val="24"/>
          <w:lang w:val="es-ES" w:eastAsia="es-ES"/>
        </w:rPr>
        <w:t xml:space="preserve">. </w:t>
      </w:r>
      <w:r>
        <w:rPr>
          <w:rFonts w:ascii="Agency FB" w:hAnsi="Agency FB" w:eastAsia="SimSun" w:cs="Arial"/>
          <w:b/>
          <w:kern w:val="28"/>
          <w:sz w:val="24"/>
          <w:szCs w:val="24"/>
          <w:lang w:val="es-ES" w:eastAsia="es-ES"/>
        </w:rPr>
        <w:t>DESCRIPCIÓN Y CANTIDAD DE LOS BIENES.</w:t>
      </w:r>
    </w:p>
    <w:p>
      <w:pPr>
        <w:keepNext/>
        <w:widowControl w:val="0"/>
        <w:tabs>
          <w:tab w:val="right" w:pos="426"/>
        </w:tabs>
        <w:spacing w:before="240" w:after="60" w:line="240" w:lineRule="auto"/>
        <w:ind w:left="142"/>
        <w:contextualSpacing/>
        <w:jc w:val="both"/>
        <w:outlineLvl w:val="0"/>
        <w:rPr>
          <w:rFonts w:ascii="Agency FB" w:hAnsi="Agency FB" w:eastAsia="SimSun" w:cs="Arial"/>
          <w:b/>
          <w:kern w:val="28"/>
          <w:sz w:val="24"/>
          <w:szCs w:val="24"/>
          <w:lang w:val="es-ES" w:eastAsia="es-ES"/>
        </w:rPr>
      </w:pPr>
    </w:p>
    <w:tbl>
      <w:tblPr>
        <w:tblStyle w:val="29"/>
        <w:tblW w:w="7230"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
        <w:gridCol w:w="4016"/>
        <w:gridCol w:w="1418"/>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vAlign w:val="center"/>
          </w:tcPr>
          <w:p>
            <w:pPr>
              <w:spacing w:after="0" w:line="240" w:lineRule="auto"/>
              <w:jc w:val="center"/>
              <w:rPr>
                <w:rFonts w:ascii="Agency FB" w:hAnsi="Agency FB" w:eastAsia="Times New Roman" w:cstheme="minorHAnsi"/>
                <w:b/>
                <w:bCs/>
                <w:sz w:val="24"/>
                <w:szCs w:val="24"/>
                <w:lang w:val="es-ES" w:eastAsia="es-PE"/>
              </w:rPr>
            </w:pPr>
            <w:r>
              <w:rPr>
                <w:rFonts w:ascii="Agency FB" w:hAnsi="Agency FB" w:cstheme="minorHAnsi"/>
                <w:b/>
                <w:sz w:val="24"/>
                <w:szCs w:val="24"/>
                <w:lang w:val="es-ES"/>
              </w:rPr>
              <w:t>N°</w:t>
            </w:r>
          </w:p>
        </w:tc>
        <w:tc>
          <w:tcPr>
            <w:tcW w:w="4016" w:type="dxa"/>
            <w:vAlign w:val="center"/>
          </w:tcPr>
          <w:p>
            <w:pPr>
              <w:spacing w:after="0" w:line="240" w:lineRule="auto"/>
              <w:jc w:val="left"/>
              <w:rPr>
                <w:rFonts w:ascii="Agency FB" w:hAnsi="Agency FB" w:eastAsia="Times New Roman" w:cstheme="minorHAnsi"/>
                <w:b/>
                <w:bCs/>
                <w:sz w:val="24"/>
                <w:szCs w:val="24"/>
                <w:lang w:val="es-ES" w:eastAsia="es-PE"/>
              </w:rPr>
            </w:pPr>
            <w:r>
              <w:rPr>
                <w:rFonts w:ascii="Agency FB" w:hAnsi="Agency FB" w:cstheme="minorHAnsi"/>
                <w:b/>
                <w:sz w:val="24"/>
                <w:szCs w:val="24"/>
                <w:lang w:val="es-ES"/>
              </w:rPr>
              <w:t>DENOMINACION DEL BIEN.</w:t>
            </w:r>
          </w:p>
        </w:tc>
        <w:tc>
          <w:tcPr>
            <w:tcW w:w="1418" w:type="dxa"/>
            <w:vAlign w:val="center"/>
          </w:tcPr>
          <w:p>
            <w:pPr>
              <w:spacing w:after="0" w:line="240" w:lineRule="auto"/>
              <w:jc w:val="center"/>
              <w:rPr>
                <w:rFonts w:ascii="Agency FB" w:hAnsi="Agency FB" w:eastAsia="Times New Roman" w:cstheme="minorHAnsi"/>
                <w:b/>
                <w:bCs/>
                <w:sz w:val="24"/>
                <w:szCs w:val="24"/>
                <w:lang w:val="es-ES" w:eastAsia="es-PE"/>
              </w:rPr>
            </w:pPr>
            <w:r>
              <w:rPr>
                <w:rFonts w:ascii="Agency FB" w:hAnsi="Agency FB" w:cstheme="minorHAnsi"/>
                <w:b/>
                <w:sz w:val="24"/>
                <w:szCs w:val="24"/>
                <w:lang w:val="es-ES"/>
              </w:rPr>
              <w:t>UNIDAD MEDIDA</w:t>
            </w:r>
          </w:p>
        </w:tc>
        <w:tc>
          <w:tcPr>
            <w:tcW w:w="1276" w:type="dxa"/>
            <w:vAlign w:val="center"/>
          </w:tcPr>
          <w:p>
            <w:pPr>
              <w:spacing w:after="0" w:line="240" w:lineRule="auto"/>
              <w:jc w:val="center"/>
              <w:rPr>
                <w:rFonts w:ascii="Agency FB" w:hAnsi="Agency FB" w:eastAsia="Times New Roman" w:cstheme="minorHAnsi"/>
                <w:b/>
                <w:bCs/>
                <w:sz w:val="24"/>
                <w:szCs w:val="24"/>
                <w:lang w:val="es-ES" w:eastAsia="es-PE"/>
              </w:rPr>
            </w:pPr>
            <w:r>
              <w:rPr>
                <w:rFonts w:ascii="Agency FB" w:hAnsi="Agency FB" w:cstheme="minorHAnsi"/>
                <w:b/>
                <w:sz w:val="24"/>
                <w:szCs w:val="24"/>
                <w:lang w:val="es-ES"/>
              </w:rPr>
              <w:t>Cantidad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1</w:t>
            </w:r>
          </w:p>
        </w:tc>
        <w:tc>
          <w:tcPr>
            <w:tcW w:w="4016" w:type="dxa"/>
            <w:vAlign w:val="center"/>
          </w:tcPr>
          <w:p>
            <w:pPr>
              <w:spacing w:after="0" w:line="240" w:lineRule="auto"/>
              <w:jc w:val="both"/>
              <w:rPr>
                <w:rFonts w:ascii="Agency FB" w:hAnsi="Agency FB" w:cstheme="minorHAnsi"/>
                <w:sz w:val="24"/>
                <w:szCs w:val="24"/>
                <w:lang w:val="es-ES"/>
              </w:rPr>
            </w:pPr>
            <w:r>
              <w:rPr>
                <w:rFonts w:ascii="Agency FB" w:hAnsi="Agency FB"/>
                <w:lang w:val="es-ES"/>
              </w:rPr>
              <w:t>BANCOS PARA LABORATORIO</w:t>
            </w:r>
          </w:p>
        </w:tc>
        <w:tc>
          <w:tcPr>
            <w:tcW w:w="1418"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UNIDAD</w:t>
            </w:r>
          </w:p>
        </w:tc>
        <w:tc>
          <w:tcPr>
            <w:tcW w:w="1276" w:type="dxa"/>
            <w:noWrap/>
            <w:vAlign w:val="center"/>
          </w:tcPr>
          <w:p>
            <w:pPr>
              <w:spacing w:after="0" w:line="240" w:lineRule="auto"/>
              <w:jc w:val="center"/>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2</w:t>
            </w:r>
          </w:p>
        </w:tc>
        <w:tc>
          <w:tcPr>
            <w:tcW w:w="4016" w:type="dxa"/>
            <w:vAlign w:val="center"/>
          </w:tcPr>
          <w:p>
            <w:pPr>
              <w:spacing w:after="0" w:line="240" w:lineRule="auto"/>
              <w:jc w:val="both"/>
              <w:rPr>
                <w:rFonts w:ascii="Agency FB" w:hAnsi="Agency FB"/>
                <w:lang w:val="es-ES"/>
              </w:rPr>
            </w:pPr>
            <w:r>
              <w:rPr>
                <w:rFonts w:ascii="Agency FB" w:hAnsi="Agency FB"/>
                <w:lang w:val="es-ES"/>
              </w:rPr>
              <w:t>SILLAS PARA TALLERES</w:t>
            </w:r>
          </w:p>
        </w:tc>
        <w:tc>
          <w:tcPr>
            <w:tcW w:w="1418"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UNIDAD</w:t>
            </w:r>
          </w:p>
        </w:tc>
        <w:tc>
          <w:tcPr>
            <w:tcW w:w="1276" w:type="dxa"/>
            <w:noWrap/>
            <w:vAlign w:val="center"/>
          </w:tcPr>
          <w:p>
            <w:pPr>
              <w:spacing w:after="0" w:line="240" w:lineRule="auto"/>
              <w:jc w:val="center"/>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213</w:t>
            </w:r>
          </w:p>
        </w:tc>
      </w:tr>
    </w:tbl>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p>
    <w:p>
      <w:pPr>
        <w:keepNext/>
        <w:widowControl w:val="0"/>
        <w:tabs>
          <w:tab w:val="right" w:pos="851"/>
        </w:tabs>
        <w:spacing w:before="240" w:after="60" w:line="240" w:lineRule="auto"/>
        <w:contextualSpacing/>
        <w:jc w:val="both"/>
        <w:outlineLvl w:val="0"/>
        <w:rPr>
          <w:rFonts w:ascii="Agency FB" w:hAnsi="Agency FB" w:eastAsia="SimSun" w:cs="Arial"/>
          <w:b/>
          <w:kern w:val="28"/>
          <w:sz w:val="24"/>
          <w:szCs w:val="24"/>
          <w:lang w:val="es-ES" w:eastAsia="es-ES"/>
        </w:rPr>
      </w:pPr>
      <w:r>
        <w:rPr>
          <w:rFonts w:ascii="Agency FB" w:hAnsi="Agency FB" w:eastAsia="SimSun" w:cs="Arial"/>
          <w:b/>
          <w:kern w:val="28"/>
          <w:sz w:val="24"/>
          <w:szCs w:val="24"/>
          <w:lang w:val="es-ES" w:eastAsia="es-ES"/>
        </w:rPr>
        <w:t>5.1.1 CARACTERÍSTICAS TÉCNICAS.</w:t>
      </w:r>
    </w:p>
    <w:tbl>
      <w:tblPr>
        <w:tblStyle w:val="16"/>
        <w:tblpPr w:leftFromText="141" w:rightFromText="141" w:vertAnchor="text" w:horzAnchor="margin" w:tblpY="185"/>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1555"/>
        <w:gridCol w:w="997"/>
        <w:gridCol w:w="704"/>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25"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N°</w:t>
            </w:r>
          </w:p>
        </w:tc>
        <w:tc>
          <w:tcPr>
            <w:tcW w:w="1555" w:type="dxa"/>
            <w:shd w:val="clear" w:color="auto" w:fill="auto"/>
            <w:vAlign w:val="center"/>
          </w:tcPr>
          <w:p>
            <w:pPr>
              <w:spacing w:after="0" w:line="240" w:lineRule="auto"/>
              <w:jc w:val="both"/>
              <w:rPr>
                <w:rFonts w:ascii="Agency FB" w:hAnsi="Agency FB" w:eastAsia="Times New Roman" w:cstheme="minorHAnsi"/>
                <w:b/>
                <w:bCs/>
                <w:lang w:eastAsia="es-PE"/>
              </w:rPr>
            </w:pPr>
            <w:r>
              <w:rPr>
                <w:rFonts w:ascii="Agency FB" w:hAnsi="Agency FB" w:cstheme="minorHAnsi"/>
                <w:b/>
              </w:rPr>
              <w:t>DENOMINACION DEL BIEN.</w:t>
            </w:r>
          </w:p>
        </w:tc>
        <w:tc>
          <w:tcPr>
            <w:tcW w:w="997" w:type="dxa"/>
            <w:vAlign w:val="center"/>
          </w:tcPr>
          <w:p>
            <w:pPr>
              <w:spacing w:after="0" w:line="240" w:lineRule="auto"/>
              <w:jc w:val="center"/>
              <w:rPr>
                <w:rFonts w:ascii="Agency FB" w:hAnsi="Agency FB" w:cstheme="minorHAnsi"/>
                <w:b/>
              </w:rPr>
            </w:pPr>
            <w:r>
              <w:rPr>
                <w:rFonts w:ascii="Agency FB" w:hAnsi="Agency FB" w:cstheme="minorHAnsi"/>
                <w:b/>
              </w:rPr>
              <w:t>UNIDAD</w:t>
            </w:r>
          </w:p>
          <w:p>
            <w:pPr>
              <w:spacing w:after="0" w:line="240" w:lineRule="auto"/>
              <w:jc w:val="center"/>
              <w:rPr>
                <w:rFonts w:ascii="Agency FB" w:hAnsi="Agency FB" w:eastAsia="Times New Roman" w:cstheme="minorHAnsi"/>
                <w:b/>
                <w:bCs/>
                <w:lang w:eastAsia="es-PE"/>
              </w:rPr>
            </w:pPr>
            <w:r>
              <w:rPr>
                <w:rFonts w:ascii="Agency FB" w:hAnsi="Agency FB" w:cstheme="minorHAnsi"/>
                <w:b/>
              </w:rPr>
              <w:t>MEDIDA</w:t>
            </w:r>
          </w:p>
        </w:tc>
        <w:tc>
          <w:tcPr>
            <w:tcW w:w="704"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CANT.</w:t>
            </w:r>
          </w:p>
        </w:tc>
        <w:tc>
          <w:tcPr>
            <w:tcW w:w="5245"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DETALLE DE LAS CARACTERISTICAS TECNICAS.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25" w:type="dxa"/>
            <w:noWrap/>
            <w:vAlign w:val="center"/>
          </w:tcPr>
          <w:p>
            <w:pPr>
              <w:spacing w:after="0" w:line="240" w:lineRule="auto"/>
              <w:rPr>
                <w:rFonts w:ascii="Agency FB" w:hAnsi="Agency FB" w:eastAsia="Times New Roman" w:cstheme="minorHAnsi"/>
                <w:lang w:eastAsia="es-PE"/>
              </w:rPr>
            </w:pPr>
            <w:r>
              <w:rPr>
                <w:rFonts w:ascii="Agency FB" w:hAnsi="Agency FB" w:eastAsia="Times New Roman" w:cstheme="minorHAnsi"/>
                <w:lang w:eastAsia="es-PE"/>
              </w:rPr>
              <w:t>1</w:t>
            </w: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tc>
        <w:tc>
          <w:tcPr>
            <w:tcW w:w="1555" w:type="dxa"/>
            <w:shd w:val="clear" w:color="auto" w:fill="auto"/>
            <w:vAlign w:val="center"/>
          </w:tcPr>
          <w:p>
            <w:pPr>
              <w:spacing w:after="0" w:line="240" w:lineRule="auto"/>
              <w:rPr>
                <w:rFonts w:ascii="Agency FB" w:hAnsi="Agency FB"/>
              </w:rPr>
            </w:pPr>
            <w:r>
              <w:rPr>
                <w:rFonts w:ascii="Agency FB" w:hAnsi="Agency FB"/>
              </w:rPr>
              <w:t>BANCOS PARA LABORATORIO</w:t>
            </w: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eastAsia="Times New Roman" w:cstheme="minorHAnsi"/>
                <w:lang w:eastAsia="es-PE"/>
              </w:rPr>
            </w:pPr>
          </w:p>
        </w:tc>
        <w:tc>
          <w:tcPr>
            <w:tcW w:w="997" w:type="dxa"/>
            <w:shd w:val="clear" w:color="auto" w:fill="auto"/>
            <w:noWrap/>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eastAsia="es-PE"/>
              </w:rPr>
              <w:t>UNIDAD</w:t>
            </w: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tc>
        <w:tc>
          <w:tcPr>
            <w:tcW w:w="704" w:type="dxa"/>
            <w:shd w:val="clear" w:color="auto" w:fill="auto"/>
            <w:noWrap/>
            <w:vAlign w:val="center"/>
          </w:tcPr>
          <w:p>
            <w:pPr>
              <w:spacing w:after="0" w:line="240" w:lineRule="auto"/>
              <w:jc w:val="center"/>
              <w:rPr>
                <w:rFonts w:ascii="Agency FB" w:hAnsi="Agency FB" w:eastAsia="Times New Roman" w:cs="Calibri"/>
                <w:lang w:eastAsia="es-PE"/>
              </w:rPr>
            </w:pPr>
            <w:r>
              <w:rPr>
                <w:rFonts w:ascii="Agency FB" w:hAnsi="Agency FB" w:eastAsia="Times New Roman" w:cs="Calibri"/>
                <w:lang w:eastAsia="es-PE"/>
              </w:rPr>
              <w:t>76</w:t>
            </w: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tc>
        <w:tc>
          <w:tcPr>
            <w:tcW w:w="5245" w:type="dxa"/>
            <w:vAlign w:val="center"/>
          </w:tcPr>
          <w:p>
            <w:pPr>
              <w:spacing w:after="0" w:line="240" w:lineRule="auto"/>
              <w:ind w:right="45"/>
              <w:contextualSpacing/>
              <w:rPr>
                <w:rFonts w:ascii="Agency FB" w:hAnsi="Agency FB" w:cstheme="minorHAnsi"/>
                <w:lang w:eastAsia="es-PE"/>
              </w:rPr>
            </w:pPr>
            <w:r>
              <w:rPr>
                <w:rFonts w:ascii="Agency FB" w:hAnsi="Agency FB" w:cstheme="minorHAnsi"/>
                <w:lang w:eastAsia="es-PE"/>
              </w:rPr>
              <w:t>Banco para laboratorio giratorio</w:t>
            </w:r>
          </w:p>
          <w:p>
            <w:pPr>
              <w:spacing w:after="0" w:line="240" w:lineRule="auto"/>
              <w:ind w:right="45"/>
              <w:contextualSpacing/>
              <w:rPr>
                <w:rFonts w:ascii="Agency FB" w:hAnsi="Agency FB" w:cstheme="minorHAnsi"/>
                <w:lang w:eastAsia="es-PE"/>
              </w:rPr>
            </w:pPr>
            <w:r>
              <w:rPr>
                <w:rFonts w:ascii="Agency FB" w:hAnsi="Agency FB" w:cstheme="minorHAnsi"/>
                <w:lang w:eastAsia="es-PE"/>
              </w:rPr>
              <w:t>Altura del asiento al piso regulable entre 56cm a 82cm o mayor rango. Con estructura de tubular de acero de 1.2mm o mayor</w:t>
            </w:r>
          </w:p>
          <w:p>
            <w:pPr>
              <w:spacing w:after="0" w:line="240" w:lineRule="auto"/>
              <w:ind w:right="45"/>
              <w:contextualSpacing/>
              <w:rPr>
                <w:rFonts w:ascii="Agency FB" w:hAnsi="Agency FB" w:cstheme="minorHAnsi"/>
                <w:lang w:eastAsia="es-PE"/>
              </w:rPr>
            </w:pPr>
            <w:r>
              <w:rPr>
                <w:rFonts w:ascii="Agency FB" w:hAnsi="Agency FB" w:cstheme="minorHAnsi"/>
                <w:lang w:eastAsia="es-PE"/>
              </w:rPr>
              <w:t>Descansapies a 26 cm aprox.</w:t>
            </w:r>
          </w:p>
          <w:p>
            <w:pPr>
              <w:spacing w:after="0" w:line="240" w:lineRule="auto"/>
              <w:ind w:right="45"/>
              <w:contextualSpacing/>
              <w:rPr>
                <w:rFonts w:ascii="Agency FB" w:hAnsi="Agency FB" w:cstheme="minorHAnsi"/>
                <w:lang w:eastAsia="es-PE"/>
              </w:rPr>
            </w:pPr>
            <w:r>
              <w:rPr>
                <w:rFonts w:ascii="Agency FB" w:hAnsi="Agency FB" w:cstheme="minorHAnsi"/>
                <w:lang w:eastAsia="es-PE"/>
              </w:rPr>
              <w:t>Diámetro del asiento 35cm aprox.</w:t>
            </w:r>
          </w:p>
          <w:p>
            <w:pPr>
              <w:spacing w:after="0" w:line="240" w:lineRule="auto"/>
              <w:ind w:right="45"/>
              <w:contextualSpacing/>
              <w:rPr>
                <w:rFonts w:ascii="Agency FB" w:hAnsi="Agency FB" w:cstheme="minorHAnsi"/>
                <w:lang w:eastAsia="es-PE"/>
              </w:rPr>
            </w:pPr>
            <w:r>
              <w:rPr>
                <w:rFonts w:ascii="Agency FB" w:hAnsi="Agency FB" w:cstheme="minorHAnsi"/>
                <w:lang w:eastAsia="es-PE"/>
              </w:rPr>
              <w:t>Diámetro de la base 50 a 60 cm.</w:t>
            </w:r>
          </w:p>
          <w:p>
            <w:pPr>
              <w:spacing w:after="0" w:line="240" w:lineRule="auto"/>
              <w:ind w:right="45"/>
              <w:contextualSpacing/>
              <w:rPr>
                <w:rFonts w:ascii="Agency FB" w:hAnsi="Agency FB" w:cstheme="minorHAnsi"/>
                <w:lang w:eastAsia="es-PE"/>
              </w:rPr>
            </w:pPr>
            <w:r>
              <w:rPr>
                <w:rFonts w:ascii="Agency FB" w:hAnsi="Agency FB" w:cstheme="minorHAnsi"/>
                <w:lang w:eastAsia="es-PE"/>
              </w:rPr>
              <w:t>Asiento de madera o MDF de 12mm de espesor con tuercas de acero dentadas, cubierto de espuma de poliuretano rígida y/o polipropileno. Preferentemente material no inflamable</w:t>
            </w:r>
          </w:p>
          <w:p>
            <w:pPr>
              <w:spacing w:after="0" w:line="240" w:lineRule="auto"/>
              <w:ind w:right="45"/>
              <w:contextualSpacing/>
              <w:rPr>
                <w:rFonts w:ascii="Agency FB" w:hAnsi="Agency FB" w:cstheme="minorHAnsi"/>
                <w:lang w:eastAsia="es-PE"/>
              </w:rPr>
            </w:pPr>
            <w:r>
              <w:rPr>
                <w:rFonts w:ascii="Agency FB" w:hAnsi="Agency FB" w:cstheme="minorHAnsi"/>
                <w:lang w:eastAsia="es-PE"/>
              </w:rPr>
              <w:t>Rango de ajuste de altura de 26 cm efectivo o superior.</w:t>
            </w:r>
          </w:p>
          <w:p>
            <w:pPr>
              <w:spacing w:after="0" w:line="240" w:lineRule="auto"/>
              <w:ind w:right="45"/>
              <w:contextualSpacing/>
              <w:rPr>
                <w:rFonts w:ascii="Agency FB" w:hAnsi="Agency FB" w:cstheme="minorHAnsi"/>
                <w:lang w:eastAsia="es-PE"/>
              </w:rPr>
            </w:pPr>
            <w:r>
              <w:rPr>
                <w:rFonts w:ascii="Agency FB" w:hAnsi="Agency FB" w:cstheme="minorHAnsi"/>
                <w:lang w:eastAsia="es-PE"/>
              </w:rPr>
              <w:t>Patas de material pvc o similar reforzado sin ruedas.</w:t>
            </w:r>
          </w:p>
          <w:p>
            <w:pPr>
              <w:spacing w:after="0" w:line="240" w:lineRule="auto"/>
              <w:ind w:right="45"/>
              <w:contextualSpacing/>
              <w:jc w:val="center"/>
              <w:rPr>
                <w:rFonts w:ascii="Agency FB" w:hAnsi="Agency FB" w:cstheme="minorHAnsi"/>
                <w:lang w:eastAsia="es-PE"/>
              </w:rPr>
            </w:pPr>
            <w:r>
              <w:drawing>
                <wp:inline distT="0" distB="0" distL="0" distR="0">
                  <wp:extent cx="1587500" cy="1587500"/>
                  <wp:effectExtent l="0" t="0" r="12700"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7"/>
                          <a:stretch>
                            <a:fillRect/>
                          </a:stretch>
                        </pic:blipFill>
                        <pic:spPr>
                          <a:xfrm>
                            <a:off x="0" y="0"/>
                            <a:ext cx="1596622" cy="1596622"/>
                          </a:xfrm>
                          <a:prstGeom prst="rect">
                            <a:avLst/>
                          </a:prstGeom>
                        </pic:spPr>
                      </pic:pic>
                    </a:graphicData>
                  </a:graphic>
                </wp:inline>
              </w:drawing>
            </w:r>
          </w:p>
          <w:p>
            <w:pPr>
              <w:spacing w:after="0" w:line="240" w:lineRule="auto"/>
              <w:ind w:right="45" w:rightChars="0"/>
              <w:contextualSpacing/>
              <w:jc w:val="center"/>
              <w:rPr>
                <w:rFonts w:ascii="Agency FB" w:hAnsi="Agency FB" w:cstheme="minorHAnsi"/>
                <w:lang w:eastAsia="es-PE"/>
              </w:rPr>
            </w:pPr>
            <w:r>
              <w:rPr>
                <w:rFonts w:ascii="Agency FB" w:hAnsi="Agency FB" w:cstheme="minorHAnsi"/>
                <w:lang w:eastAsia="es-PE"/>
              </w:rPr>
              <w:t>IMAGEN REFERENCIAL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25" w:type="dxa"/>
            <w:noWrap/>
            <w:vAlign w:val="center"/>
          </w:tcPr>
          <w:p>
            <w:pPr>
              <w:spacing w:after="0" w:line="240" w:lineRule="auto"/>
              <w:rPr>
                <w:rFonts w:ascii="Agency FB" w:hAnsi="Agency FB" w:eastAsia="Times New Roman" w:cstheme="minorHAnsi"/>
                <w:lang w:eastAsia="es-PE"/>
              </w:rPr>
            </w:pPr>
            <w:r>
              <w:rPr>
                <w:rFonts w:ascii="Agency FB" w:hAnsi="Agency FB" w:eastAsia="Times New Roman" w:cstheme="minorHAnsi"/>
                <w:lang w:eastAsia="es-PE"/>
              </w:rPr>
              <w:t>02</w:t>
            </w: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p>
            <w:pPr>
              <w:spacing w:after="0" w:line="240" w:lineRule="auto"/>
              <w:rPr>
                <w:rFonts w:ascii="Agency FB" w:hAnsi="Agency FB" w:eastAsia="Times New Roman" w:cstheme="minorHAnsi"/>
                <w:lang w:eastAsia="es-PE"/>
              </w:rPr>
            </w:pPr>
          </w:p>
        </w:tc>
        <w:tc>
          <w:tcPr>
            <w:tcW w:w="1555" w:type="dxa"/>
            <w:shd w:val="clear" w:color="auto" w:fill="auto"/>
            <w:vAlign w:val="center"/>
          </w:tcPr>
          <w:p>
            <w:pPr>
              <w:spacing w:after="0" w:line="240" w:lineRule="auto"/>
              <w:rPr>
                <w:rFonts w:ascii="Agency FB" w:hAnsi="Agency FB"/>
              </w:rPr>
            </w:pPr>
            <w:r>
              <w:rPr>
                <w:rFonts w:ascii="Agency FB" w:hAnsi="Agency FB"/>
              </w:rPr>
              <w:t>SILLAS PARA TALLERES</w:t>
            </w: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p>
            <w:pPr>
              <w:spacing w:after="0" w:line="240" w:lineRule="auto"/>
              <w:jc w:val="center"/>
              <w:rPr>
                <w:rFonts w:ascii="Agency FB" w:hAnsi="Agency FB"/>
              </w:rPr>
            </w:pPr>
          </w:p>
        </w:tc>
        <w:tc>
          <w:tcPr>
            <w:tcW w:w="997" w:type="dxa"/>
            <w:shd w:val="clear" w:color="auto" w:fill="auto"/>
            <w:noWrap/>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eastAsia="es-PE"/>
              </w:rPr>
              <w:t>UNIDAD</w:t>
            </w: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p>
            <w:pPr>
              <w:spacing w:after="0" w:line="240" w:lineRule="auto"/>
              <w:jc w:val="center"/>
              <w:rPr>
                <w:rFonts w:ascii="Agency FB" w:hAnsi="Agency FB" w:eastAsia="Times New Roman" w:cstheme="minorHAnsi"/>
                <w:lang w:eastAsia="es-PE"/>
              </w:rPr>
            </w:pPr>
          </w:p>
        </w:tc>
        <w:tc>
          <w:tcPr>
            <w:tcW w:w="704" w:type="dxa"/>
            <w:shd w:val="clear" w:color="auto" w:fill="auto"/>
            <w:noWrap/>
            <w:vAlign w:val="center"/>
          </w:tcPr>
          <w:p>
            <w:pPr>
              <w:spacing w:after="0" w:line="240" w:lineRule="auto"/>
              <w:jc w:val="center"/>
              <w:rPr>
                <w:rFonts w:ascii="Agency FB" w:hAnsi="Agency FB" w:eastAsia="Times New Roman" w:cs="Calibri"/>
                <w:lang w:eastAsia="es-PE"/>
              </w:rPr>
            </w:pPr>
            <w:r>
              <w:rPr>
                <w:rFonts w:ascii="Agency FB" w:hAnsi="Agency FB" w:eastAsia="Times New Roman" w:cs="Calibri"/>
                <w:lang w:eastAsia="es-PE"/>
              </w:rPr>
              <w:t>213</w:t>
            </w: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p>
            <w:pPr>
              <w:spacing w:after="0" w:line="240" w:lineRule="auto"/>
              <w:jc w:val="center"/>
              <w:rPr>
                <w:rFonts w:ascii="Agency FB" w:hAnsi="Agency FB" w:eastAsia="Times New Roman" w:cs="Calibri"/>
                <w:lang w:eastAsia="es-PE"/>
              </w:rPr>
            </w:pPr>
          </w:p>
        </w:tc>
        <w:tc>
          <w:tcPr>
            <w:tcW w:w="5245" w:type="dxa"/>
            <w:vAlign w:val="center"/>
          </w:tcPr>
          <w:p>
            <w:pPr>
              <w:spacing w:after="0" w:line="240" w:lineRule="auto"/>
              <w:ind w:right="45"/>
              <w:contextualSpacing/>
              <w:rPr>
                <w:rFonts w:ascii="Agency FB" w:hAnsi="Agency FB" w:cstheme="minorHAnsi"/>
                <w:lang w:eastAsia="es-PE"/>
              </w:rPr>
            </w:pPr>
            <w:r>
              <w:rPr>
                <w:rFonts w:ascii="Agency FB" w:hAnsi="Agency FB" w:cstheme="minorHAnsi"/>
                <w:lang w:eastAsia="es-PE"/>
              </w:rPr>
              <w:t>Banco p</w:t>
            </w:r>
            <w:bookmarkStart w:id="0" w:name="_GoBack"/>
            <w:bookmarkEnd w:id="0"/>
            <w:r>
              <w:rPr>
                <w:rFonts w:ascii="Agency FB" w:hAnsi="Agency FB" w:cstheme="minorHAnsi"/>
                <w:lang w:eastAsia="es-PE"/>
              </w:rPr>
              <w:t>ara talleres</w:t>
            </w:r>
          </w:p>
          <w:p>
            <w:pPr>
              <w:spacing w:after="0" w:line="240" w:lineRule="auto"/>
              <w:ind w:right="45"/>
              <w:contextualSpacing/>
              <w:rPr>
                <w:rFonts w:ascii="Agency FB" w:hAnsi="Agency FB" w:cstheme="minorHAnsi"/>
                <w:lang w:eastAsia="es-PE"/>
              </w:rPr>
            </w:pPr>
            <w:r>
              <w:rPr>
                <w:rFonts w:ascii="Agency FB" w:hAnsi="Agency FB" w:cstheme="minorHAnsi"/>
                <w:lang w:eastAsia="es-PE"/>
              </w:rPr>
              <w:t>Altura del asiento al piso regulable entre 56cm a 82cm o mayor rango.</w:t>
            </w:r>
          </w:p>
          <w:p>
            <w:pPr>
              <w:spacing w:after="0" w:line="240" w:lineRule="auto"/>
              <w:ind w:right="45"/>
              <w:contextualSpacing/>
              <w:rPr>
                <w:rFonts w:ascii="Agency FB" w:hAnsi="Agency FB" w:cstheme="minorHAnsi"/>
                <w:lang w:eastAsia="es-PE"/>
              </w:rPr>
            </w:pPr>
            <w:r>
              <w:rPr>
                <w:rFonts w:ascii="Agency FB" w:hAnsi="Agency FB" w:cstheme="minorHAnsi"/>
                <w:lang w:eastAsia="es-PE"/>
              </w:rPr>
              <w:t>Descansapies a 26 cm aprox.</w:t>
            </w:r>
          </w:p>
          <w:p>
            <w:pPr>
              <w:spacing w:after="0" w:line="240" w:lineRule="auto"/>
              <w:ind w:right="45"/>
              <w:contextualSpacing/>
              <w:rPr>
                <w:rFonts w:ascii="Agency FB" w:hAnsi="Agency FB" w:cstheme="minorHAnsi"/>
                <w:lang w:eastAsia="es-PE"/>
              </w:rPr>
            </w:pPr>
            <w:r>
              <w:rPr>
                <w:rFonts w:ascii="Agency FB" w:hAnsi="Agency FB" w:cstheme="minorHAnsi"/>
                <w:lang w:eastAsia="es-PE"/>
              </w:rPr>
              <w:t>Área del asiento 30cm x 30cm como mínimo</w:t>
            </w:r>
          </w:p>
          <w:p>
            <w:pPr>
              <w:spacing w:after="0" w:line="240" w:lineRule="auto"/>
              <w:ind w:right="45"/>
              <w:contextualSpacing/>
              <w:rPr>
                <w:rFonts w:ascii="Agency FB" w:hAnsi="Agency FB" w:cstheme="minorHAnsi"/>
                <w:lang w:eastAsia="es-PE"/>
              </w:rPr>
            </w:pPr>
            <w:r>
              <w:rPr>
                <w:rFonts w:ascii="Agency FB" w:hAnsi="Agency FB" w:cstheme="minorHAnsi"/>
                <w:lang w:eastAsia="es-PE"/>
              </w:rPr>
              <w:t>Espaldar de malla o polipropileno</w:t>
            </w:r>
          </w:p>
          <w:p>
            <w:pPr>
              <w:spacing w:after="0" w:line="240" w:lineRule="auto"/>
              <w:ind w:right="45"/>
              <w:contextualSpacing/>
              <w:rPr>
                <w:rFonts w:ascii="Agency FB" w:hAnsi="Agency FB" w:cstheme="minorHAnsi"/>
                <w:lang w:eastAsia="es-PE"/>
              </w:rPr>
            </w:pPr>
            <w:r>
              <w:rPr>
                <w:rFonts w:ascii="Agency FB" w:hAnsi="Agency FB" w:cstheme="minorHAnsi"/>
                <w:lang w:eastAsia="es-PE"/>
              </w:rPr>
              <w:t>Diámetro de la base 50 a 60 cm.</w:t>
            </w:r>
          </w:p>
          <w:p>
            <w:pPr>
              <w:spacing w:after="0" w:line="240" w:lineRule="auto"/>
              <w:ind w:right="45"/>
              <w:contextualSpacing/>
              <w:rPr>
                <w:rFonts w:ascii="Agency FB" w:hAnsi="Agency FB" w:cstheme="minorHAnsi"/>
                <w:lang w:eastAsia="es-PE"/>
              </w:rPr>
            </w:pPr>
            <w:r>
              <w:rPr>
                <w:rFonts w:ascii="Agency FB" w:hAnsi="Agency FB" w:cstheme="minorHAnsi"/>
                <w:lang w:eastAsia="es-PE"/>
              </w:rPr>
              <w:t>Rango de ajuste de altura de 26 cm efectivo o superior.</w:t>
            </w:r>
          </w:p>
          <w:p>
            <w:pPr>
              <w:spacing w:after="0" w:line="240" w:lineRule="auto"/>
              <w:ind w:right="45"/>
              <w:contextualSpacing/>
              <w:rPr>
                <w:rFonts w:ascii="Agency FB" w:hAnsi="Agency FB" w:cstheme="minorHAnsi"/>
                <w:lang w:eastAsia="es-PE"/>
              </w:rPr>
            </w:pPr>
            <w:r>
              <w:rPr>
                <w:rFonts w:ascii="Agency FB" w:hAnsi="Agency FB" w:cstheme="minorHAnsi"/>
                <w:lang w:eastAsia="es-PE"/>
              </w:rPr>
              <w:t>Asiento giratorio de madera cubierto de espuma de poliuretano rígida y/o polipropileno y/o polipropileno no menor de 4mm de espesor. Preferentemente material no inflamable</w:t>
            </w:r>
          </w:p>
          <w:p>
            <w:pPr>
              <w:spacing w:after="0" w:line="240" w:lineRule="auto"/>
              <w:ind w:right="45"/>
              <w:contextualSpacing/>
              <w:rPr>
                <w:rFonts w:ascii="Agency FB" w:hAnsi="Agency FB" w:cstheme="minorHAnsi"/>
                <w:lang w:eastAsia="es-PE"/>
              </w:rPr>
            </w:pPr>
            <w:r>
              <w:rPr>
                <w:rFonts w:ascii="Agency FB" w:hAnsi="Agency FB" w:cstheme="minorHAnsi"/>
                <w:lang w:eastAsia="es-PE"/>
              </w:rPr>
              <w:t>Patas de tubo de acero redondo de 1.2mm de espesor o superior de 1” pulgada de diámetro o mayor sin ruedas.</w:t>
            </w:r>
          </w:p>
          <w:p>
            <w:pPr>
              <w:spacing w:after="0" w:line="240" w:lineRule="auto"/>
              <w:ind w:right="45"/>
              <w:contextualSpacing/>
              <w:rPr>
                <w:rFonts w:ascii="Agency FB" w:hAnsi="Agency FB" w:cstheme="minorHAnsi"/>
                <w:lang w:eastAsia="es-PE"/>
              </w:rPr>
            </w:pPr>
            <w:r>
              <w:rPr>
                <w:rFonts w:ascii="Agency FB" w:hAnsi="Agency FB" w:cstheme="minorHAnsi"/>
                <w:lang w:eastAsia="es-PE"/>
              </w:rPr>
              <w:t>Espaldar del mismo material del asiento</w:t>
            </w:r>
          </w:p>
          <w:p>
            <w:pPr>
              <w:spacing w:after="0" w:line="240" w:lineRule="auto"/>
              <w:ind w:right="45"/>
              <w:contextualSpacing/>
              <w:jc w:val="center"/>
              <w:rPr>
                <w:rFonts w:ascii="Agency FB" w:hAnsi="Agency FB" w:cstheme="minorHAnsi"/>
                <w:lang w:eastAsia="es-PE"/>
              </w:rPr>
            </w:pPr>
            <w:r>
              <w:drawing>
                <wp:inline distT="0" distB="0" distL="0" distR="0">
                  <wp:extent cx="2143125" cy="2143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8"/>
                          <a:stretch>
                            <a:fillRect/>
                          </a:stretch>
                        </pic:blipFill>
                        <pic:spPr>
                          <a:xfrm>
                            <a:off x="0" y="0"/>
                            <a:ext cx="2143125" cy="2143125"/>
                          </a:xfrm>
                          <a:prstGeom prst="rect">
                            <a:avLst/>
                          </a:prstGeom>
                        </pic:spPr>
                      </pic:pic>
                    </a:graphicData>
                  </a:graphic>
                </wp:inline>
              </w:drawing>
            </w:r>
          </w:p>
          <w:p>
            <w:pPr>
              <w:spacing w:after="0" w:line="240" w:lineRule="auto"/>
              <w:ind w:right="45" w:rightChars="0"/>
              <w:contextualSpacing/>
              <w:jc w:val="center"/>
              <w:rPr>
                <w:rFonts w:ascii="Agency FB" w:hAnsi="Agency FB" w:cstheme="minorHAnsi"/>
                <w:lang w:eastAsia="es-PE"/>
              </w:rPr>
            </w:pPr>
            <w:r>
              <w:rPr>
                <w:rFonts w:ascii="Agency FB" w:hAnsi="Agency FB" w:cstheme="minorHAnsi"/>
                <w:lang w:eastAsia="es-PE"/>
              </w:rPr>
              <w:t>Imagen referencial</w:t>
            </w:r>
          </w:p>
        </w:tc>
      </w:tr>
    </w:tbl>
    <w:p>
      <w:pPr>
        <w:keepNext/>
        <w:spacing w:after="0" w:line="240" w:lineRule="auto"/>
        <w:ind w:left="142"/>
        <w:contextualSpacing/>
        <w:jc w:val="both"/>
        <w:outlineLvl w:val="0"/>
        <w:rPr>
          <w:rFonts w:ascii="Agency FB" w:hAnsi="Agency FB" w:eastAsia="Times New Roman" w:cs="Arial"/>
          <w:sz w:val="24"/>
          <w:szCs w:val="24"/>
          <w:lang w:val="es-ES" w:eastAsia="es-PE"/>
        </w:rPr>
      </w:pPr>
    </w:p>
    <w:p>
      <w:pPr>
        <w:spacing w:after="0" w:line="240" w:lineRule="auto"/>
        <w:ind w:left="142"/>
        <w:jc w:val="both"/>
        <w:rPr>
          <w:rFonts w:ascii="Agency FB" w:hAnsi="Agency FB" w:eastAsia="DFKai-SB" w:cs="Arial"/>
          <w:b/>
          <w:bCs/>
          <w:sz w:val="24"/>
          <w:szCs w:val="24"/>
          <w:lang w:val="es-ES" w:eastAsia="es-ES"/>
        </w:rPr>
      </w:pPr>
      <w:r>
        <w:rPr>
          <w:rFonts w:ascii="Agency FB" w:hAnsi="Agency FB" w:eastAsia="DFKai-SB" w:cs="Arial"/>
          <w:b/>
          <w:bCs/>
          <w:sz w:val="24"/>
          <w:szCs w:val="24"/>
          <w:lang w:val="es-ES" w:eastAsia="es-ES"/>
        </w:rPr>
        <w:t>5.1.2   CONDICIONES DE OPERACIÓN.</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proveedor deberá considerar todas las condiciones adecuadas de transporte, operación, carga y descarga de todos los materiales necesarios para la correcta entrega de los materiales.</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DFKai-SB" w:cs="Arial"/>
          <w:b/>
          <w:bCs/>
          <w:sz w:val="24"/>
          <w:szCs w:val="24"/>
          <w:lang w:val="es-ES" w:eastAsia="es-ES"/>
        </w:rPr>
        <w:t xml:space="preserve"> 5.1.3 </w:t>
      </w:r>
      <w:r>
        <w:rPr>
          <w:rFonts w:ascii="Agency FB" w:hAnsi="Agency FB" w:eastAsia="Calibri" w:cs="Arial"/>
          <w:b/>
          <w:sz w:val="24"/>
          <w:szCs w:val="24"/>
          <w:lang w:val="es-ES"/>
        </w:rPr>
        <w:t>EMBALAJE Y ROTULADO.</w:t>
      </w:r>
    </w:p>
    <w:p>
      <w:pPr>
        <w:spacing w:after="200" w:line="240" w:lineRule="auto"/>
        <w:ind w:left="142"/>
        <w:jc w:val="both"/>
        <w:rPr>
          <w:rFonts w:ascii="Agency FB" w:hAnsi="Agency FB" w:eastAsia="Calibri" w:cs="Arial"/>
          <w:sz w:val="24"/>
          <w:szCs w:val="24"/>
          <w:lang w:val="es-ES"/>
        </w:rPr>
      </w:pPr>
      <w:r>
        <w:rPr>
          <w:rFonts w:ascii="Agency FB" w:hAnsi="Agency FB" w:eastAsia="Calibri" w:cs="Arial"/>
          <w:sz w:val="24"/>
          <w:szCs w:val="24"/>
          <w:lang w:val="es-ES"/>
        </w:rPr>
        <w:t xml:space="preserve">El proveedor deberá considerar todas las medidas necesarias de un correcto embalaje para el adecuado transporte, de todos los materiales </w:t>
      </w: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5.1.5    ACONDICIONAMIENTO, MONTAJE O INSTALACIÓN.</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proveedor deberá contar con todos los materiales y equipos necesarios para transporte y seguros, para el cumplimiento con la entrega de los bienes en Obra y almacenamiento del mismo en obra.</w:t>
      </w:r>
    </w:p>
    <w:p>
      <w:pPr>
        <w:spacing w:after="200" w:line="240" w:lineRule="auto"/>
        <w:ind w:left="142"/>
        <w:contextualSpacing/>
        <w:jc w:val="both"/>
        <w:rPr>
          <w:rFonts w:ascii="Agency FB" w:hAnsi="Agency FB" w:eastAsia="Calibri" w:cs="Arial"/>
          <w:sz w:val="24"/>
          <w:szCs w:val="24"/>
          <w:lang w:val="es-ES"/>
        </w:rPr>
      </w:pPr>
    </w:p>
    <w:p>
      <w:pPr>
        <w:numPr>
          <w:ilvl w:val="2"/>
          <w:numId w:val="2"/>
        </w:numPr>
        <w:spacing w:after="200" w:line="240" w:lineRule="auto"/>
        <w:ind w:left="567" w:hanging="425"/>
        <w:contextualSpacing/>
        <w:jc w:val="both"/>
        <w:rPr>
          <w:rFonts w:ascii="Agency FB" w:hAnsi="Agency FB" w:eastAsia="Calibri" w:cs="Arial"/>
          <w:b/>
          <w:sz w:val="24"/>
          <w:szCs w:val="24"/>
          <w:lang w:val="es-ES"/>
        </w:rPr>
      </w:pPr>
      <w:r>
        <w:rPr>
          <w:rFonts w:ascii="Agency FB" w:hAnsi="Agency FB" w:eastAsia="Calibri" w:cs="Arial"/>
          <w:b/>
          <w:sz w:val="24"/>
          <w:szCs w:val="24"/>
          <w:lang w:val="es-ES"/>
        </w:rPr>
        <w:t>TRANSPORTE Y SEGURO</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transporte de bienes a entregarse está a cargo del proveedor, hasta la entrega de materiales en Obra e instalación.</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5.1.7 GARANTÍA COMERCIAL.</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DFKai-SB" w:cs="Arial"/>
          <w:b/>
          <w:bCs/>
          <w:sz w:val="24"/>
          <w:szCs w:val="24"/>
          <w:lang w:val="es-ES" w:eastAsia="es-ES"/>
        </w:rPr>
      </w:pPr>
      <w:r>
        <w:rPr>
          <w:rFonts w:ascii="Agency FB" w:hAnsi="Agency FB" w:eastAsia="DFKai-SB" w:cs="Arial"/>
          <w:b/>
          <w:bCs/>
          <w:sz w:val="24"/>
          <w:szCs w:val="24"/>
          <w:lang w:val="es-ES" w:eastAsia="es-ES"/>
        </w:rPr>
        <w:t xml:space="preserve"> 5.2 REQUISITOS DE CALIFICACIÓN:</w:t>
      </w:r>
    </w:p>
    <w:p>
      <w:pPr>
        <w:keepNext/>
        <w:spacing w:after="0" w:line="240" w:lineRule="auto"/>
        <w:ind w:left="142"/>
        <w:contextualSpacing/>
        <w:jc w:val="both"/>
        <w:outlineLvl w:val="0"/>
        <w:rPr>
          <w:rFonts w:ascii="Agency FB" w:hAnsi="Agency FB" w:eastAsia="DFKai-SB" w:cs="Arial"/>
          <w:b/>
          <w:bCs/>
          <w:sz w:val="24"/>
          <w:szCs w:val="24"/>
          <w:u w:val="single"/>
          <w:lang w:val="es-ES" w:eastAsia="es-ES"/>
        </w:rPr>
      </w:pPr>
      <w:r>
        <w:rPr>
          <w:rFonts w:ascii="Agency FB" w:hAnsi="Agency FB" w:eastAsia="DFKai-SB" w:cs="Arial"/>
          <w:b/>
          <w:bCs/>
          <w:sz w:val="24"/>
          <w:szCs w:val="24"/>
          <w:u w:val="single"/>
          <w:lang w:val="es-ES" w:eastAsia="es-ES"/>
        </w:rPr>
        <w:t>Experiencia del postor en la especialidad.</w:t>
      </w:r>
    </w:p>
    <w:p>
      <w:pPr>
        <w:spacing w:after="0" w:line="240" w:lineRule="auto"/>
        <w:ind w:left="142"/>
        <w:jc w:val="both"/>
        <w:rPr>
          <w:rFonts w:ascii="Agency FB" w:hAnsi="Agency FB" w:eastAsia="Calibri" w:cs="Arial"/>
          <w:lang w:val="es-ES"/>
        </w:rPr>
      </w:pPr>
      <w:r>
        <w:rPr>
          <w:rFonts w:ascii="Agency FB" w:hAnsi="Agency FB" w:eastAsia="Calibri" w:cs="Arial"/>
          <w:iCs/>
          <w:sz w:val="24"/>
          <w:szCs w:val="24"/>
          <w:lang w:val="es-ES" w:eastAsia="es-ES"/>
        </w:rPr>
        <w:t>El postor debe acreditar un monto facturado acumulado equivalente a S/. 50,000.00 (cincuenta mil con 00/100 nuevos soles), por la contracción de bienes iguales o similares al objeto de la convocatoria,</w:t>
      </w:r>
      <w:r>
        <w:rPr>
          <w:rFonts w:ascii="Agency FB" w:hAnsi="Agency FB" w:eastAsia="Calibri" w:cs="Arial"/>
          <w:lang w:val="es-ES"/>
        </w:rPr>
        <w:t xml:space="preserve"> durante los ocho (8) años anteriores a la fecha de la prestación de ofertas que se computaran desde la fecha de la conformidad o emisión del comprobante de pago según corresponda.</w:t>
      </w:r>
    </w:p>
    <w:p>
      <w:pPr>
        <w:spacing w:after="0" w:line="240" w:lineRule="auto"/>
        <w:jc w:val="both"/>
        <w:rPr>
          <w:rFonts w:ascii="Agency FB" w:hAnsi="Agency FB" w:eastAsia="Calibri" w:cs="Arial"/>
          <w:iCs/>
          <w:sz w:val="24"/>
          <w:szCs w:val="24"/>
          <w:lang w:val="es-ES" w:eastAsia="es-ES"/>
        </w:rPr>
      </w:pPr>
    </w:p>
    <w:p>
      <w:pPr>
        <w:spacing w:after="0" w:line="240" w:lineRule="auto"/>
        <w:ind w:left="142"/>
        <w:contextualSpacing/>
        <w:jc w:val="both"/>
        <w:rPr>
          <w:rFonts w:ascii="Agency FB" w:hAnsi="Agency FB" w:eastAsia="Calibri" w:cs="Arial"/>
          <w:b/>
          <w:iCs/>
          <w:sz w:val="24"/>
          <w:szCs w:val="24"/>
          <w:lang w:val="es-ES" w:eastAsia="es-ES"/>
        </w:rPr>
      </w:pPr>
      <w:r>
        <w:rPr>
          <w:rFonts w:ascii="Agency FB" w:hAnsi="Agency FB" w:eastAsia="Calibri" w:cs="Arial"/>
          <w:iCs/>
          <w:sz w:val="24"/>
          <w:szCs w:val="24"/>
          <w:lang w:val="es-ES" w:eastAsia="es-ES"/>
        </w:rPr>
        <w:t xml:space="preserve">Se consideran los siguientes bienes iguales o similares a: venta de equipos educativos y/o mobiliario escolar y/o sillones giratorios, y/o sillas fijas de metal y/o sillas y sillones tapizados, </w:t>
      </w:r>
    </w:p>
    <w:p>
      <w:pPr>
        <w:spacing w:after="0" w:line="240" w:lineRule="auto"/>
        <w:ind w:left="142"/>
        <w:contextualSpacing/>
        <w:jc w:val="both"/>
        <w:rPr>
          <w:rFonts w:ascii="Agency FB" w:hAnsi="Agency FB" w:eastAsia="Calibri" w:cs="Arial"/>
          <w:b/>
          <w:iCs/>
          <w:sz w:val="24"/>
          <w:szCs w:val="24"/>
          <w:lang w:val="es-ES" w:eastAsia="es-ES"/>
        </w:rPr>
      </w:pPr>
    </w:p>
    <w:p>
      <w:pPr>
        <w:pStyle w:val="19"/>
        <w:numPr>
          <w:ilvl w:val="1"/>
          <w:numId w:val="2"/>
        </w:numPr>
        <w:spacing w:after="0" w:line="240" w:lineRule="auto"/>
        <w:jc w:val="both"/>
        <w:rPr>
          <w:rFonts w:ascii="Agency FB" w:hAnsi="Agency FB" w:eastAsia="Calibri" w:cs="Times New Roman"/>
          <w:b/>
          <w:sz w:val="24"/>
          <w:szCs w:val="24"/>
          <w:lang w:val="es-ES"/>
        </w:rPr>
      </w:pPr>
      <w:r>
        <w:rPr>
          <w:rFonts w:ascii="Agency FB" w:hAnsi="Agency FB" w:eastAsia="Calibri" w:cs="Times New Roman"/>
          <w:b/>
          <w:sz w:val="24"/>
          <w:szCs w:val="24"/>
          <w:lang w:val="es-ES"/>
        </w:rPr>
        <w:t>LUGAR Y PLAZO DE ENTREGA:</w:t>
      </w:r>
    </w:p>
    <w:p>
      <w:pPr>
        <w:pStyle w:val="19"/>
        <w:spacing w:after="0" w:line="240" w:lineRule="auto"/>
        <w:ind w:left="360"/>
        <w:jc w:val="both"/>
        <w:rPr>
          <w:rFonts w:ascii="Agency FB" w:hAnsi="Agency FB" w:eastAsia="Calibri" w:cs="Arial"/>
          <w:b/>
          <w:iCs/>
          <w:sz w:val="24"/>
          <w:szCs w:val="24"/>
          <w:lang w:val="es-ES" w:eastAsia="es-ES"/>
        </w:rPr>
      </w:pPr>
    </w:p>
    <w:p>
      <w:pPr>
        <w:spacing w:after="0" w:line="240" w:lineRule="auto"/>
        <w:ind w:left="142" w:firstLine="142"/>
        <w:jc w:val="both"/>
        <w:rPr>
          <w:rFonts w:ascii="Agency FB" w:hAnsi="Agency FB" w:eastAsia="Calibri" w:cs="Arial"/>
          <w:sz w:val="24"/>
          <w:szCs w:val="24"/>
          <w:lang w:val="es-ES" w:eastAsia="es-PE"/>
        </w:rPr>
      </w:pPr>
      <w:r>
        <w:rPr>
          <w:rFonts w:ascii="Agency FB" w:hAnsi="Agency FB" w:eastAsia="Calibri" w:cs="Times New Roman"/>
          <w:b/>
          <w:sz w:val="24"/>
          <w:szCs w:val="24"/>
          <w:lang w:val="es-ES"/>
        </w:rPr>
        <w:t>5.3.1 LUGAR ENTREGA:</w:t>
      </w:r>
      <w:r>
        <w:rPr>
          <w:rFonts w:ascii="Agency FB" w:hAnsi="Agency FB" w:eastAsia="Calibri" w:cs="Times New Roman"/>
          <w:sz w:val="24"/>
          <w:szCs w:val="24"/>
          <w:lang w:val="es-ES"/>
        </w:rPr>
        <w:t xml:space="preserve"> </w:t>
      </w:r>
      <w:r>
        <w:rPr>
          <w:rFonts w:ascii="Agency FB" w:hAnsi="Agency FB" w:eastAsia="Calibri" w:cs="Arial"/>
          <w:sz w:val="24"/>
          <w:szCs w:val="24"/>
          <w:lang w:val="es-ES"/>
        </w:rPr>
        <w:t xml:space="preserve">Los bienes serán entregados en el almacén de la OBRA: </w:t>
      </w:r>
      <w:r>
        <w:rPr>
          <w:rFonts w:ascii="Agency FB" w:hAnsi="Agency FB" w:eastAsia="Times New Roman" w:cs="Arial"/>
          <w:bCs/>
          <w:sz w:val="24"/>
          <w:szCs w:val="24"/>
          <w:lang w:val="pt-BR" w:eastAsia="es-PE"/>
        </w:rPr>
        <w:t>“</w:t>
      </w:r>
      <w:r>
        <w:rPr>
          <w:rFonts w:ascii="Agency FB" w:hAnsi="Agency FB" w:eastAsia="Calibri"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Pr>
          <w:rFonts w:ascii="Agency FB" w:hAnsi="Agency FB" w:eastAsia="Calibri" w:cs="Arial"/>
          <w:sz w:val="24"/>
          <w:szCs w:val="24"/>
          <w:lang w:val="es-ES" w:eastAsia="es-PE"/>
        </w:rPr>
        <w:t>el horario de ingreso para proveedores es de 08:00 hasta 11:30 y 13:30 hasta 16:00 de lunes a viernes y sábado de 8:30 a 11.30.</w:t>
      </w:r>
    </w:p>
    <w:p>
      <w:pPr>
        <w:spacing w:after="0" w:line="240" w:lineRule="auto"/>
        <w:ind w:left="142" w:firstLine="142"/>
        <w:jc w:val="both"/>
        <w:rPr>
          <w:rFonts w:ascii="Agency FB" w:hAnsi="Agency FB" w:eastAsia="Calibri" w:cs="Times New Roman"/>
          <w:sz w:val="24"/>
          <w:szCs w:val="24"/>
          <w:lang w:val="es-ES"/>
        </w:rPr>
      </w:pPr>
    </w:p>
    <w:p>
      <w:pPr>
        <w:spacing w:after="200" w:line="276" w:lineRule="auto"/>
        <w:ind w:left="142"/>
        <w:jc w:val="both"/>
        <w:rPr>
          <w:rFonts w:ascii="Agency FB" w:hAnsi="Agency FB" w:eastAsia="Calibri" w:cs="Arial"/>
          <w:sz w:val="24"/>
          <w:szCs w:val="24"/>
          <w:lang w:val="es-ES"/>
        </w:rPr>
      </w:pPr>
      <w:r>
        <w:rPr>
          <w:rFonts w:ascii="Agency FB" w:hAnsi="Agency FB" w:eastAsia="Calibri" w:cs="Arial"/>
          <w:b/>
          <w:sz w:val="24"/>
          <w:szCs w:val="24"/>
          <w:lang w:val="es-ES"/>
        </w:rPr>
        <w:t xml:space="preserve">5.3.2 PLAZO DE ENTREGA: </w:t>
      </w:r>
      <w:r>
        <w:rPr>
          <w:rFonts w:ascii="Agency FB" w:hAnsi="Agency FB" w:eastAsia="Calibri" w:cs="Arial"/>
          <w:sz w:val="24"/>
          <w:szCs w:val="24"/>
          <w:lang w:val="es-ES"/>
        </w:rPr>
        <w:t>El plazo de entrega será en 05 días calendarios contados a partir del día siguiente de la notificación de la orden de compra,</w:t>
      </w:r>
    </w:p>
    <w:p>
      <w:pPr>
        <w:spacing w:after="200" w:line="276"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OTRAS OBLIGACIONES.</w:t>
      </w:r>
    </w:p>
    <w:p>
      <w:pPr>
        <w:tabs>
          <w:tab w:val="left" w:pos="1124"/>
        </w:tabs>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5.4.1 OTRAS OBLIGACIONES DEL CONTRATISTA.</w:t>
      </w:r>
    </w:p>
    <w:p>
      <w:pPr>
        <w:numPr>
          <w:ilvl w:val="1"/>
          <w:numId w:val="3"/>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Todos los materiales deberán estar en buenas condiciones, bajo responsabilidad del contratista, cualquier desperfecto en los materiales deberá ser reemplazado de manera inmediata.</w:t>
      </w:r>
    </w:p>
    <w:p>
      <w:pPr>
        <w:numPr>
          <w:ilvl w:val="1"/>
          <w:numId w:val="3"/>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Los costos de reposición debido a materiales defectuosos serán a costo y cuenta del contratista.</w:t>
      </w:r>
    </w:p>
    <w:p>
      <w:pPr>
        <w:numPr>
          <w:ilvl w:val="1"/>
          <w:numId w:val="3"/>
        </w:numPr>
        <w:spacing w:after="200" w:line="240" w:lineRule="auto"/>
        <w:ind w:left="709" w:hanging="567"/>
        <w:contextualSpacing/>
        <w:jc w:val="both"/>
        <w:rPr>
          <w:rFonts w:ascii="Agency FB" w:hAnsi="Agency FB" w:eastAsia="Calibri" w:cs="Arial"/>
          <w:sz w:val="24"/>
          <w:szCs w:val="24"/>
          <w:lang w:val="es-ES"/>
        </w:rPr>
      </w:pPr>
      <w:r>
        <w:rPr>
          <w:rFonts w:ascii="Agency FB" w:hAnsi="Agency FB" w:eastAsia="Calibri" w:cs="Arial"/>
          <w:sz w:val="24"/>
          <w:szCs w:val="24"/>
          <w:lang w:val="es-ES"/>
        </w:rPr>
        <w:t>Si el contratista no cumple con la reposición del material, la entidad podrá deducir del monto a pagar los daños y perjuicios ocasionados al haberse retrasado a consecuencia de la paralización de los trabajos.</w:t>
      </w:r>
    </w:p>
    <w:p>
      <w:pPr>
        <w:spacing w:after="200" w:line="240" w:lineRule="auto"/>
        <w:contextualSpacing/>
        <w:jc w:val="both"/>
        <w:rPr>
          <w:rFonts w:ascii="Agency FB" w:hAnsi="Agency FB" w:eastAsia="Calibri" w:cs="Arial"/>
          <w:sz w:val="24"/>
          <w:szCs w:val="24"/>
          <w:lang w:val="es-ES"/>
        </w:rPr>
      </w:pPr>
    </w:p>
    <w:p>
      <w:pPr>
        <w:tabs>
          <w:tab w:val="left" w:pos="1124"/>
        </w:tabs>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5.4.2 OTRAS OBLIGACIONES DE LA ENTIDAD.</w:t>
      </w:r>
    </w:p>
    <w:p>
      <w:pPr>
        <w:spacing w:after="200" w:line="240" w:lineRule="auto"/>
        <w:ind w:left="142" w:firstLine="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Residencia de Obra hará la entrega del espacio físico para el almacenamiento de los mobiliarios.</w:t>
      </w:r>
    </w:p>
    <w:p>
      <w:pPr>
        <w:spacing w:after="200" w:line="240" w:lineRule="auto"/>
        <w:ind w:left="142" w:firstLine="142"/>
        <w:contextualSpacing/>
        <w:jc w:val="both"/>
        <w:rPr>
          <w:rFonts w:ascii="Agency FB" w:hAnsi="Agency FB" w:eastAsia="Calibri" w:cs="Arial"/>
          <w:sz w:val="24"/>
          <w:szCs w:val="24"/>
          <w:lang w:val="es-ES"/>
        </w:rPr>
      </w:pPr>
    </w:p>
    <w:p>
      <w:pPr>
        <w:spacing w:after="20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5.5 RECEPCIÓN Y CONFORMIDAD DE LA ADQUISICIÓN.</w:t>
      </w:r>
    </w:p>
    <w:p>
      <w:pPr>
        <w:tabs>
          <w:tab w:val="left" w:pos="1134"/>
        </w:tabs>
        <w:spacing w:after="0" w:line="240" w:lineRule="auto"/>
        <w:ind w:left="142"/>
        <w:contextualSpacing/>
        <w:jc w:val="both"/>
        <w:rPr>
          <w:rFonts w:ascii="Agency FB" w:hAnsi="Agency FB" w:eastAsia="Calibri" w:cs="Arial"/>
          <w:b/>
          <w:sz w:val="24"/>
          <w:szCs w:val="24"/>
          <w:lang w:val="es-ES"/>
        </w:rPr>
      </w:pPr>
      <w:r>
        <w:rPr>
          <w:rFonts w:ascii="Agency FB" w:hAnsi="Agency FB" w:eastAsia="Calibri" w:cs="Arial"/>
          <w:b/>
          <w:sz w:val="24"/>
          <w:szCs w:val="24"/>
          <w:lang w:val="es-ES"/>
        </w:rPr>
        <w:t>5.5.1 RECEPCIÓN.</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recepción del bien estará a cargo el almacenero de obra y especialista en instalaciones especiales, con V°B° del Residente Y Supervisor De Obra.</w:t>
      </w:r>
    </w:p>
    <w:p>
      <w:pPr>
        <w:spacing w:after="0" w:line="240" w:lineRule="auto"/>
        <w:ind w:left="142"/>
        <w:jc w:val="both"/>
        <w:rPr>
          <w:rFonts w:ascii="Agency FB" w:hAnsi="Agency FB" w:eastAsia="Calibri" w:cs="Arial"/>
          <w:sz w:val="24"/>
          <w:szCs w:val="24"/>
          <w:lang w:val="es-ES"/>
        </w:rPr>
      </w:pPr>
    </w:p>
    <w:p>
      <w:pPr>
        <w:spacing w:after="0" w:line="240" w:lineRule="auto"/>
        <w:ind w:left="142"/>
        <w:jc w:val="both"/>
        <w:rPr>
          <w:rFonts w:ascii="Agency FB" w:hAnsi="Agency FB" w:eastAsia="Calibri" w:cs="Arial"/>
          <w:b/>
          <w:sz w:val="24"/>
          <w:szCs w:val="24"/>
          <w:lang w:val="es-ES"/>
        </w:rPr>
      </w:pPr>
      <w:r>
        <w:rPr>
          <w:rFonts w:ascii="Agency FB" w:hAnsi="Agency FB" w:eastAsia="Calibri" w:cs="Arial"/>
          <w:b/>
          <w:sz w:val="24"/>
          <w:szCs w:val="24"/>
          <w:lang w:val="es-ES"/>
        </w:rPr>
        <w:t>5.5.2 CONFORMIDAD.</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pPr>
        <w:spacing w:after="0" w:line="240" w:lineRule="auto"/>
        <w:ind w:left="142"/>
        <w:contextualSpacing/>
        <w:jc w:val="both"/>
        <w:rPr>
          <w:rFonts w:ascii="Agency FB" w:hAnsi="Agency FB" w:eastAsia="Calibri" w:cs="Arial"/>
          <w:sz w:val="24"/>
          <w:szCs w:val="24"/>
          <w:lang w:val="es-ES"/>
        </w:rPr>
      </w:pPr>
    </w:p>
    <w:p>
      <w:pPr>
        <w:numPr>
          <w:ilvl w:val="1"/>
          <w:numId w:val="4"/>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FORMA DE PAGO:</w:t>
      </w:r>
    </w:p>
    <w:p>
      <w:pPr>
        <w:spacing w:after="0" w:line="240" w:lineRule="auto"/>
        <w:ind w:left="-142"/>
        <w:jc w:val="both"/>
        <w:rPr>
          <w:rFonts w:ascii="Agency FB" w:hAnsi="Agency FB" w:eastAsia="Calibri" w:cs="Times New Roman"/>
          <w:sz w:val="24"/>
          <w:szCs w:val="24"/>
          <w:lang w:val="es-ES"/>
        </w:rPr>
      </w:pPr>
      <w:r>
        <w:rPr>
          <w:rFonts w:ascii="Agency FB" w:hAnsi="Agency FB" w:eastAsia="Calibri" w:cs="Times New Roman"/>
          <w:sz w:val="24"/>
          <w:szCs w:val="24"/>
          <w:lang w:val="es-ES"/>
        </w:rPr>
        <w:t xml:space="preserve">      El pago será único, previo al informe de conformidad del bien, con el VISTO BUENO del Supervisor de Obra</w:t>
      </w:r>
    </w:p>
    <w:p>
      <w:pPr>
        <w:spacing w:after="0" w:line="240" w:lineRule="auto"/>
        <w:ind w:left="-142"/>
        <w:jc w:val="both"/>
        <w:rPr>
          <w:rFonts w:ascii="Agency FB" w:hAnsi="Agency FB" w:eastAsia="Calibri" w:cs="Times New Roman"/>
          <w:sz w:val="24"/>
          <w:szCs w:val="24"/>
          <w:lang w:val="es-ES"/>
        </w:rPr>
      </w:pPr>
      <w:r>
        <w:rPr>
          <w:rFonts w:ascii="Agency FB" w:hAnsi="Agency FB" w:eastAsia="Calibri" w:cs="Times New Roman"/>
          <w:sz w:val="24"/>
          <w:szCs w:val="24"/>
          <w:lang w:val="es-ES"/>
        </w:rPr>
        <w:t xml:space="preserve">      Para efectos del pago el contratista deberá de presentar:</w:t>
      </w:r>
    </w:p>
    <w:p>
      <w:pPr>
        <w:numPr>
          <w:ilvl w:val="0"/>
          <w:numId w:val="5"/>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Guía De Remisión</w:t>
      </w:r>
    </w:p>
    <w:p>
      <w:pPr>
        <w:numPr>
          <w:ilvl w:val="0"/>
          <w:numId w:val="5"/>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Comprobante de pago</w:t>
      </w:r>
    </w:p>
    <w:p>
      <w:pPr>
        <w:numPr>
          <w:ilvl w:val="0"/>
          <w:numId w:val="5"/>
        </w:numPr>
        <w:spacing w:after="0" w:line="240" w:lineRule="auto"/>
        <w:jc w:val="both"/>
        <w:rPr>
          <w:rFonts w:ascii="Agency FB" w:hAnsi="Agency FB" w:eastAsia="Calibri" w:cs="Times New Roman"/>
          <w:sz w:val="24"/>
          <w:szCs w:val="24"/>
          <w:lang w:val="es-ES"/>
        </w:rPr>
      </w:pPr>
      <w:r>
        <w:rPr>
          <w:rFonts w:ascii="Agency FB" w:hAnsi="Agency FB" w:eastAsia="Calibri" w:cs="Times New Roman"/>
          <w:sz w:val="24"/>
          <w:szCs w:val="24"/>
          <w:lang w:val="es-ES"/>
        </w:rPr>
        <w:t>Informe de conformidad.</w:t>
      </w:r>
    </w:p>
    <w:p>
      <w:pPr>
        <w:widowControl w:val="0"/>
        <w:spacing w:after="200" w:line="276" w:lineRule="auto"/>
        <w:ind w:left="142"/>
        <w:jc w:val="both"/>
        <w:rPr>
          <w:rFonts w:ascii="Agency FB" w:hAnsi="Agency FB" w:eastAsia="Calibri" w:cs="Arial"/>
          <w:sz w:val="24"/>
          <w:szCs w:val="24"/>
          <w:lang w:val="es-ES"/>
        </w:rPr>
      </w:pPr>
      <w:r>
        <w:rPr>
          <w:rFonts w:ascii="Agency FB" w:hAnsi="Agency FB" w:eastAsia="Calibri" w:cs="Arial"/>
          <w:sz w:val="24"/>
          <w:szCs w:val="24"/>
          <w:lang w:val="es-ES"/>
        </w:rPr>
        <w:t xml:space="preserve">Dicha documentación se debe presentar en la unidad que corresponde, en Gobierno Regional Del Apurímac - Sede Central. </w:t>
      </w:r>
    </w:p>
    <w:p>
      <w:pPr>
        <w:numPr>
          <w:ilvl w:val="1"/>
          <w:numId w:val="4"/>
        </w:numPr>
        <w:spacing w:after="200" w:line="276" w:lineRule="auto"/>
        <w:contextualSpacing/>
        <w:jc w:val="both"/>
        <w:rPr>
          <w:rFonts w:ascii="Agency FB" w:hAnsi="Agency FB" w:eastAsia="Times New Roman" w:cs="Calibri"/>
          <w:b/>
          <w:sz w:val="24"/>
          <w:szCs w:val="24"/>
          <w:lang w:val="es-ES" w:eastAsia="es-PE"/>
        </w:rPr>
      </w:pPr>
      <w:r>
        <w:rPr>
          <w:rFonts w:ascii="Agency FB" w:hAnsi="Agency FB" w:eastAsia="Times New Roman" w:cs="Calibri"/>
          <w:b/>
          <w:sz w:val="24"/>
          <w:szCs w:val="24"/>
          <w:lang w:val="es-ES" w:eastAsia="es-PE"/>
        </w:rPr>
        <w:t>RESPONSABILIDAD POR VICIOS OCULTOS.</w:t>
      </w: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pPr>
        <w:spacing w:after="200" w:line="240" w:lineRule="auto"/>
        <w:ind w:left="142"/>
        <w:contextualSpacing/>
        <w:jc w:val="both"/>
        <w:rPr>
          <w:rFonts w:ascii="Agency FB" w:hAnsi="Agency FB" w:eastAsia="Calibri" w:cs="Arial"/>
          <w:sz w:val="24"/>
          <w:szCs w:val="24"/>
          <w:lang w:val="es-ES"/>
        </w:rPr>
      </w:pPr>
    </w:p>
    <w:p>
      <w:pPr>
        <w:spacing w:after="20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El plazo máximo de responsabilidad del contratista es de un (01) año contado a partir de la conformidad otorgada por LA ENTIDAD.</w:t>
      </w:r>
    </w:p>
    <w:p>
      <w:pPr>
        <w:spacing w:after="200" w:line="276" w:lineRule="auto"/>
        <w:ind w:left="142"/>
        <w:contextualSpacing/>
        <w:jc w:val="both"/>
        <w:rPr>
          <w:rFonts w:ascii="Agency FB" w:hAnsi="Agency FB" w:eastAsia="Calibri" w:cs="Calibri"/>
          <w:sz w:val="24"/>
          <w:szCs w:val="24"/>
          <w:lang w:val="es-ES" w:eastAsia="es-PE"/>
        </w:rPr>
      </w:pPr>
    </w:p>
    <w:p>
      <w:pPr>
        <w:numPr>
          <w:ilvl w:val="1"/>
          <w:numId w:val="4"/>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PENALIDADES</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Times New Roman"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Pr>
          <w:rFonts w:ascii="Agency FB" w:hAnsi="Agency FB" w:eastAsia="Calibri" w:cs="Arial"/>
          <w:sz w:val="24"/>
          <w:szCs w:val="24"/>
          <w:lang w:val="es-ES"/>
        </w:rPr>
        <w:t xml:space="preserve"> Art.162 Del Reglamento De La Ley De Contrataciones Del Estado.</w:t>
      </w:r>
    </w:p>
    <w:p>
      <w:pPr>
        <w:spacing w:after="0" w:line="240" w:lineRule="auto"/>
        <w:ind w:left="142"/>
        <w:contextualSpacing/>
        <w:jc w:val="both"/>
        <w:rPr>
          <w:rFonts w:ascii="Agency FB" w:hAnsi="Agency FB" w:eastAsia="Calibri" w:cs="Arial"/>
          <w:sz w:val="24"/>
          <w:szCs w:val="24"/>
          <w:lang w:val="es-ES"/>
        </w:rPr>
      </w:pP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1186180</wp:posOffset>
                </wp:positionH>
                <wp:positionV relativeFrom="paragraph">
                  <wp:posOffset>181610</wp:posOffset>
                </wp:positionV>
                <wp:extent cx="1487805" cy="0"/>
                <wp:effectExtent l="0" t="0" r="36830" b="19050"/>
                <wp:wrapNone/>
                <wp:docPr id="1" name="Conector recto 1"/>
                <wp:cNvGraphicFramePr/>
                <a:graphic xmlns:a="http://schemas.openxmlformats.org/drawingml/2006/main">
                  <a:graphicData uri="http://schemas.microsoft.com/office/word/2010/wordprocessingShape">
                    <wps:wsp>
                      <wps:cNvCnPr/>
                      <wps:spPr>
                        <a:xfrm>
                          <a:off x="0" y="0"/>
                          <a:ext cx="14877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3.4pt;margin-top:14.3pt;height:0pt;width:117.15pt;z-index:251659264;mso-width-relative:page;mso-height-relative:page;" filled="f" stroked="t" coordsize="21600,21600" o:gfxdata="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&#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DgGbu1wAAAAkBAAAPAAAAAAAAAAEAIAAAACIAAABk&#10;cnMvZG93bnJldi54bWxQSwECFAAUAAAACACHTuJAAjLgwc4BAACxAwAADgAAAAAAAAABACAAAAAm&#10;AQAAZHJzL2Uyb0RvYy54bWxQSwUGAAAAAAYABgBZAQAAZgUAAAAA&#10;">
                <v:fill on="f" focussize="0,0"/>
                <v:stroke weight="1pt" color="#000000 [3200]" miterlimit="8" joinstyle="miter"/>
                <v:imagedata o:title=""/>
                <o:lock v:ext="edit" aspectratio="f"/>
              </v:line>
            </w:pict>
          </mc:Fallback>
        </mc:AlternateContent>
      </w:r>
      <w:r>
        <w:rPr>
          <w:rFonts w:ascii="Agency FB" w:hAnsi="Agency FB" w:eastAsia="Calibri" w:cs="Arial"/>
          <w:sz w:val="24"/>
          <w:szCs w:val="24"/>
          <w:lang w:val="es-ES"/>
        </w:rPr>
        <w:t xml:space="preserve">Penalidad diaria =   </w:t>
      </w:r>
      <w:r>
        <w:rPr>
          <w:rFonts w:ascii="Agency FB" w:hAnsi="Agency FB" w:eastAsia="Calibri" w:cs="Arial"/>
          <w:sz w:val="24"/>
          <w:szCs w:val="24"/>
          <w:lang w:val="es-ES"/>
        </w:rPr>
        <w:tab/>
      </w:r>
      <w:r>
        <w:rPr>
          <w:rFonts w:ascii="Agency FB" w:hAnsi="Agency FB" w:eastAsia="Calibri" w:cs="Arial"/>
          <w:sz w:val="24"/>
          <w:szCs w:val="24"/>
          <w:lang w:val="es-ES"/>
        </w:rPr>
        <w:t xml:space="preserve">  0.10 x monto vigente </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ab/>
      </w:r>
      <w:r>
        <w:rPr>
          <w:rFonts w:ascii="Agency FB" w:hAnsi="Agency FB" w:eastAsia="Calibri" w:cs="Arial"/>
          <w:sz w:val="24"/>
          <w:szCs w:val="24"/>
          <w:lang w:val="es-ES"/>
        </w:rPr>
        <w:tab/>
      </w:r>
      <w:r>
        <w:rPr>
          <w:rFonts w:ascii="Agency FB" w:hAnsi="Agency FB" w:eastAsia="Calibri" w:cs="Arial"/>
          <w:sz w:val="24"/>
          <w:szCs w:val="24"/>
          <w:lang w:val="es-ES"/>
        </w:rPr>
        <w:tab/>
      </w:r>
      <w:r>
        <w:rPr>
          <w:rFonts w:ascii="Agency FB" w:hAnsi="Agency FB" w:eastAsia="Calibri" w:cs="Arial"/>
          <w:sz w:val="24"/>
          <w:szCs w:val="24"/>
          <w:lang w:val="es-ES"/>
        </w:rPr>
        <w:t>F x Plazo Vigente en días</w:t>
      </w:r>
    </w:p>
    <w:p>
      <w:pPr>
        <w:spacing w:after="0" w:line="240" w:lineRule="auto"/>
        <w:ind w:left="142"/>
        <w:contextualSpacing/>
        <w:jc w:val="both"/>
        <w:rPr>
          <w:rFonts w:ascii="Agency FB" w:hAnsi="Agency FB" w:eastAsia="Calibri" w:cs="Arial"/>
          <w:sz w:val="24"/>
          <w:szCs w:val="24"/>
          <w:lang w:val="es-ES"/>
        </w:rPr>
      </w:pPr>
    </w:p>
    <w:p>
      <w:pPr>
        <w:spacing w:after="0" w:line="240" w:lineRule="auto"/>
        <w:ind w:left="142"/>
        <w:contextualSpacing/>
        <w:jc w:val="both"/>
        <w:rPr>
          <w:rFonts w:ascii="Agency FB" w:hAnsi="Agency FB" w:eastAsia="Calibri" w:cs="Arial"/>
          <w:sz w:val="24"/>
          <w:szCs w:val="24"/>
          <w:lang w:val="es-ES"/>
        </w:rPr>
      </w:pPr>
    </w:p>
    <w:p>
      <w:pPr>
        <w:spacing w:after="0" w:line="240" w:lineRule="auto"/>
        <w:ind w:left="426" w:hanging="284"/>
        <w:contextualSpacing/>
        <w:jc w:val="both"/>
        <w:rPr>
          <w:rFonts w:ascii="Agency FB" w:hAnsi="Agency FB" w:eastAsia="Times New Roman" w:cs="Times New Roman"/>
          <w:sz w:val="24"/>
          <w:szCs w:val="24"/>
          <w:lang w:val="es-ES" w:eastAsia="es-ES"/>
        </w:rPr>
      </w:pPr>
      <w:r>
        <w:t>a</w:t>
      </w:r>
      <w:r>
        <w:rPr>
          <w:rFonts w:ascii="Agency FB" w:hAnsi="Agency FB" w:eastAsia="Times New Roman" w:cs="Times New Roman"/>
          <w:sz w:val="24"/>
          <w:szCs w:val="24"/>
          <w:lang w:val="es-ES" w:eastAsia="es-ES"/>
        </w:rPr>
        <w:t>) Para plazos menores o iguales a sesenta (60) días, F = 0.40.</w:t>
      </w:r>
    </w:p>
    <w:p>
      <w:pPr>
        <w:spacing w:after="0" w:line="240" w:lineRule="auto"/>
        <w:ind w:left="426" w:hanging="284"/>
        <w:contextualSpacing/>
        <w:jc w:val="both"/>
        <w:rPr>
          <w:rFonts w:ascii="Agency FB" w:hAnsi="Agency FB" w:eastAsia="Times New Roman" w:cs="Times New Roman"/>
          <w:sz w:val="24"/>
          <w:szCs w:val="24"/>
          <w:lang w:val="es-ES" w:eastAsia="es-ES"/>
        </w:rPr>
      </w:pPr>
      <w:r>
        <w:rPr>
          <w:rFonts w:ascii="Agency FB" w:hAnsi="Agency FB" w:eastAsia="Times New Roman" w:cs="Times New Roman"/>
          <w:sz w:val="24"/>
          <w:szCs w:val="24"/>
          <w:lang w:val="es-ES" w:eastAsia="es-ES"/>
        </w:rPr>
        <w:t>b) Para plazos mayores a sesenta (60) días: F= 0.25</w:t>
      </w:r>
    </w:p>
    <w:p>
      <w:pPr>
        <w:spacing w:after="0" w:line="240" w:lineRule="auto"/>
        <w:ind w:left="142"/>
        <w:contextualSpacing/>
        <w:jc w:val="both"/>
        <w:rPr>
          <w:rFonts w:ascii="Agency FB" w:hAnsi="Agency FB" w:eastAsia="Calibri" w:cs="Arial"/>
          <w:sz w:val="24"/>
          <w:szCs w:val="24"/>
          <w:lang w:val="es-ES"/>
        </w:rPr>
      </w:pPr>
    </w:p>
    <w:p>
      <w:pPr>
        <w:numPr>
          <w:ilvl w:val="1"/>
          <w:numId w:val="4"/>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 xml:space="preserve">SISTEMA DE CONTRACCIÓN: </w:t>
      </w:r>
    </w:p>
    <w:p>
      <w:pPr>
        <w:spacing w:after="0" w:line="240" w:lineRule="auto"/>
        <w:ind w:left="142"/>
        <w:contextualSpacing/>
        <w:jc w:val="both"/>
        <w:rPr>
          <w:rFonts w:ascii="Agency FB" w:hAnsi="Agency FB" w:eastAsia="Calibri" w:cs="Arial"/>
          <w:sz w:val="24"/>
          <w:szCs w:val="24"/>
          <w:lang w:val="es-ES"/>
        </w:rPr>
      </w:pPr>
      <w:r>
        <w:rPr>
          <w:rFonts w:ascii="Agency FB" w:hAnsi="Agency FB" w:eastAsia="Calibri" w:cs="Arial"/>
          <w:sz w:val="24"/>
          <w:szCs w:val="24"/>
          <w:lang w:val="es-ES"/>
        </w:rPr>
        <w:t>SUMA ALZADA.</w:t>
      </w:r>
    </w:p>
    <w:p>
      <w:pPr>
        <w:spacing w:after="0" w:line="240" w:lineRule="auto"/>
        <w:ind w:left="142"/>
        <w:contextualSpacing/>
        <w:jc w:val="both"/>
        <w:rPr>
          <w:rFonts w:ascii="Agency FB" w:hAnsi="Agency FB" w:eastAsia="Calibri" w:cs="Arial"/>
          <w:sz w:val="24"/>
          <w:szCs w:val="24"/>
          <w:lang w:val="es-ES"/>
        </w:rPr>
      </w:pPr>
    </w:p>
    <w:p>
      <w:pPr>
        <w:numPr>
          <w:ilvl w:val="1"/>
          <w:numId w:val="4"/>
        </w:numPr>
        <w:spacing w:after="0" w:line="240" w:lineRule="auto"/>
        <w:contextualSpacing/>
        <w:jc w:val="both"/>
        <w:rPr>
          <w:rFonts w:ascii="Agency FB" w:hAnsi="Agency FB" w:eastAsia="Calibri" w:cs="Arial"/>
          <w:b/>
          <w:sz w:val="24"/>
          <w:szCs w:val="24"/>
          <w:lang w:val="es-ES"/>
        </w:rPr>
      </w:pPr>
      <w:r>
        <w:rPr>
          <w:rFonts w:ascii="Agency FB" w:hAnsi="Agency FB" w:eastAsia="Calibri" w:cs="Arial"/>
          <w:b/>
          <w:sz w:val="24"/>
          <w:szCs w:val="24"/>
          <w:lang w:val="es-ES"/>
        </w:rPr>
        <w:t>ANEXOS.</w:t>
      </w:r>
    </w:p>
    <w:p>
      <w:pPr>
        <w:spacing w:after="200" w:line="276" w:lineRule="auto"/>
        <w:ind w:left="142" w:right="-284"/>
        <w:contextualSpacing/>
        <w:jc w:val="both"/>
        <w:rPr>
          <w:rFonts w:ascii="Agency FB" w:hAnsi="Agency FB" w:eastAsia="SimSun" w:cs="Arial"/>
          <w:kern w:val="28"/>
          <w:sz w:val="24"/>
          <w:szCs w:val="24"/>
          <w:lang w:val="es-ES" w:eastAsia="es-ES"/>
        </w:rPr>
      </w:pPr>
      <w:r>
        <w:rPr>
          <w:rFonts w:ascii="Agency FB" w:hAnsi="Agency FB" w:eastAsia="SimSun" w:cs="Arial"/>
          <w:kern w:val="28"/>
          <w:sz w:val="24"/>
          <w:szCs w:val="24"/>
          <w:lang w:val="es-ES" w:eastAsia="es-ES"/>
        </w:rPr>
        <w:t>Se Adjunta El Protocolo De Ingreso A Obra Para Proveedores Y Terceros.</w:t>
      </w:r>
    </w:p>
    <w:sectPr>
      <w:headerReference r:id="rId5" w:type="default"/>
      <w:pgSz w:w="11906" w:h="16838"/>
      <w:pgMar w:top="1418" w:right="1701" w:bottom="1418" w:left="1701" w:header="568"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gency FB">
    <w:panose1 w:val="020B0503020202020204"/>
    <w:charset w:val="00"/>
    <w:family w:val="swiss"/>
    <w:pitch w:val="default"/>
    <w:sig w:usb0="00000003" w:usb1="00000000" w:usb2="00000000" w:usb3="00000000" w:csb0="20000001"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76" w:lineRule="auto"/>
      <w:jc w:val="center"/>
      <w:rPr>
        <w:rFonts w:ascii="Arial" w:hAnsi="Arial" w:cs="Arial"/>
        <w:b/>
        <w:sz w:val="32"/>
        <w:szCs w:val="32"/>
      </w:rPr>
    </w:pPr>
    <w:r>
      <w:rPr>
        <w:rFonts w:ascii="Arial" w:hAnsi="Arial" w:cs="Arial"/>
        <w:b/>
        <w:sz w:val="32"/>
        <w:szCs w:val="32"/>
        <w:lang w:val="en-US"/>
      </w:rPr>
      <w:drawing>
        <wp:anchor distT="0" distB="0" distL="114300" distR="114300" simplePos="0" relativeHeight="251659264" behindDoc="1" locked="0" layoutInCell="1" allowOverlap="1">
          <wp:simplePos x="0" y="0"/>
          <wp:positionH relativeFrom="margin">
            <wp:posOffset>-408940</wp:posOffset>
          </wp:positionH>
          <wp:positionV relativeFrom="paragraph">
            <wp:posOffset>-78105</wp:posOffset>
          </wp:positionV>
          <wp:extent cx="529590" cy="533400"/>
          <wp:effectExtent l="0" t="0" r="4445" b="0"/>
          <wp:wrapNone/>
          <wp:docPr id="5" name="Imagen 5"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1704" cy="535700"/>
                  </a:xfrm>
                  <a:prstGeom prst="rect">
                    <a:avLst/>
                  </a:prstGeom>
                  <a:noFill/>
                  <a:ln>
                    <a:noFill/>
                  </a:ln>
                </pic:spPr>
              </pic:pic>
            </a:graphicData>
          </a:graphic>
        </wp:anchor>
      </w:drawing>
    </w:r>
    <w:r>
      <w:rPr>
        <w:rFonts w:ascii="Arial" w:hAnsi="Arial" w:cs="Arial"/>
        <w:b/>
        <w:sz w:val="32"/>
        <w:szCs w:val="32"/>
        <w:lang w:val="en-US"/>
      </w:rPr>
      <w:drawing>
        <wp:anchor distT="0" distB="0" distL="114300" distR="114300" simplePos="0" relativeHeight="251660288" behindDoc="0" locked="0" layoutInCell="1" allowOverlap="1">
          <wp:simplePos x="0" y="0"/>
          <wp:positionH relativeFrom="rightMargin">
            <wp:posOffset>300355</wp:posOffset>
          </wp:positionH>
          <wp:positionV relativeFrom="paragraph">
            <wp:posOffset>-90805</wp:posOffset>
          </wp:positionV>
          <wp:extent cx="465455" cy="485775"/>
          <wp:effectExtent l="0" t="0" r="0" b="0"/>
          <wp:wrapNone/>
          <wp:docPr id="6" name="Imagen 6"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467616" cy="487726"/>
                  </a:xfrm>
                  <a:prstGeom prst="rect">
                    <a:avLst/>
                  </a:prstGeom>
                  <a:noFill/>
                  <a:ln>
                    <a:noFill/>
                  </a:ln>
                </pic:spPr>
              </pic:pic>
            </a:graphicData>
          </a:graphic>
        </wp:anchor>
      </w:drawing>
    </w:r>
    <w:r>
      <w:rPr>
        <w:rFonts w:ascii="Arial" w:hAnsi="Arial" w:cs="Arial"/>
        <w:b/>
        <w:sz w:val="32"/>
        <w:szCs w:val="32"/>
      </w:rPr>
      <w:t xml:space="preserve"> GOBIERNO REGIONAL DE APURÍMAC</w:t>
    </w:r>
  </w:p>
  <w:p>
    <w:pPr>
      <w:pStyle w:val="11"/>
      <w:spacing w:line="276" w:lineRule="auto"/>
      <w:jc w:val="center"/>
      <w:rPr>
        <w:rFonts w:ascii="Arial" w:hAnsi="Arial" w:cs="Arial"/>
        <w:b/>
        <w:sz w:val="24"/>
        <w:szCs w:val="24"/>
      </w:rPr>
    </w:pPr>
    <w:r>
      <w:rPr>
        <w:rFonts w:ascii="Arial" w:hAnsi="Arial" w:cs="Arial"/>
        <w:b/>
        <w:sz w:val="24"/>
        <w:szCs w:val="24"/>
      </w:rPr>
      <w:t>GERENCIA REGIONAL DE INFRAESTRUCTURA</w:t>
    </w:r>
  </w:p>
  <w:p>
    <w:pPr>
      <w:tabs>
        <w:tab w:val="center" w:pos="4252"/>
        <w:tab w:val="right" w:pos="8504"/>
      </w:tabs>
      <w:spacing w:after="0" w:line="240" w:lineRule="auto"/>
      <w:jc w:val="center"/>
      <w:rPr>
        <w:rFonts w:ascii="Agency FB" w:hAnsi="Agency FB" w:cs="Arial"/>
        <w:b/>
        <w:sz w:val="20"/>
        <w:szCs w:val="18"/>
        <w:lang w:eastAsia="es-PE"/>
      </w:rPr>
    </w:pPr>
    <w:r>
      <w:rPr>
        <w:rFonts w:ascii="Arial" w:hAnsi="Arial" w:cs="Arial"/>
        <w:color w:val="202124"/>
        <w:shd w:val="clear" w:color="auto" w:fill="FFFFFF"/>
      </w:rPr>
      <w:t>“</w:t>
    </w:r>
    <w:r>
      <w:rPr>
        <w:rFonts w:ascii="Agency FB" w:hAnsi="Agency FB" w:cs="Arial"/>
        <w:b/>
        <w:bCs/>
        <w:color w:val="202124"/>
        <w:shd w:val="clear" w:color="auto" w:fill="FFFFFF"/>
      </w:rPr>
      <w:t>Año de la unidad, la paz y el desarrollo</w:t>
    </w:r>
    <w:r>
      <w:rPr>
        <w:rFonts w:ascii="Agency FB" w:hAnsi="Agency FB" w:cs="Arial"/>
        <w:color w:val="202124"/>
        <w:shd w:val="clear" w:color="auto" w:fill="FFFFFF"/>
      </w:rPr>
      <w:t>”</w:t>
    </w:r>
  </w:p>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0468E"/>
    <w:multiLevelType w:val="multilevel"/>
    <w:tmpl w:val="03E0468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937541"/>
    <w:multiLevelType w:val="multilevel"/>
    <w:tmpl w:val="14937541"/>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6"/>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28697168"/>
    <w:multiLevelType w:val="multilevel"/>
    <w:tmpl w:val="28697168"/>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3">
    <w:nsid w:val="3CE25D0E"/>
    <w:multiLevelType w:val="multilevel"/>
    <w:tmpl w:val="3CE25D0E"/>
    <w:lvl w:ilvl="0" w:tentative="0">
      <w:start w:val="5"/>
      <w:numFmt w:val="decimal"/>
      <w:lvlText w:val="%1"/>
      <w:lvlJc w:val="left"/>
      <w:pPr>
        <w:ind w:left="360" w:hanging="360"/>
      </w:pPr>
      <w:rPr>
        <w:rFonts w:hint="default"/>
      </w:rPr>
    </w:lvl>
    <w:lvl w:ilvl="1" w:tentative="0">
      <w:start w:val="6"/>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6B631646"/>
    <w:multiLevelType w:val="multilevel"/>
    <w:tmpl w:val="6B63164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2D3"/>
    <w:rsid w:val="000573AD"/>
    <w:rsid w:val="00060736"/>
    <w:rsid w:val="000607E1"/>
    <w:rsid w:val="00063FA9"/>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27A1"/>
    <w:rsid w:val="000E5074"/>
    <w:rsid w:val="000E6548"/>
    <w:rsid w:val="000E7ED7"/>
    <w:rsid w:val="000F2063"/>
    <w:rsid w:val="000F457C"/>
    <w:rsid w:val="000F481A"/>
    <w:rsid w:val="000F5D56"/>
    <w:rsid w:val="00101A25"/>
    <w:rsid w:val="001118FC"/>
    <w:rsid w:val="00111E73"/>
    <w:rsid w:val="00114244"/>
    <w:rsid w:val="0011445D"/>
    <w:rsid w:val="00115881"/>
    <w:rsid w:val="00125AA2"/>
    <w:rsid w:val="001324D3"/>
    <w:rsid w:val="00134CDF"/>
    <w:rsid w:val="0013662B"/>
    <w:rsid w:val="001374A9"/>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2C01"/>
    <w:rsid w:val="001C4F3E"/>
    <w:rsid w:val="001C589E"/>
    <w:rsid w:val="001C5B58"/>
    <w:rsid w:val="001C651E"/>
    <w:rsid w:val="001C72E6"/>
    <w:rsid w:val="001E0E89"/>
    <w:rsid w:val="001E3D76"/>
    <w:rsid w:val="001E434A"/>
    <w:rsid w:val="001E4F20"/>
    <w:rsid w:val="001E6565"/>
    <w:rsid w:val="001F2EBB"/>
    <w:rsid w:val="001F5F6F"/>
    <w:rsid w:val="001F68CF"/>
    <w:rsid w:val="002039EE"/>
    <w:rsid w:val="00207F5E"/>
    <w:rsid w:val="002106EA"/>
    <w:rsid w:val="00210713"/>
    <w:rsid w:val="00211991"/>
    <w:rsid w:val="00213236"/>
    <w:rsid w:val="00213AC5"/>
    <w:rsid w:val="002147E6"/>
    <w:rsid w:val="00215941"/>
    <w:rsid w:val="002159E2"/>
    <w:rsid w:val="00216CF2"/>
    <w:rsid w:val="0021718A"/>
    <w:rsid w:val="0022093E"/>
    <w:rsid w:val="0022136A"/>
    <w:rsid w:val="00225280"/>
    <w:rsid w:val="00237A39"/>
    <w:rsid w:val="00237FB1"/>
    <w:rsid w:val="00242EFD"/>
    <w:rsid w:val="00245473"/>
    <w:rsid w:val="0024635A"/>
    <w:rsid w:val="00250EC5"/>
    <w:rsid w:val="00251A2E"/>
    <w:rsid w:val="00253CD4"/>
    <w:rsid w:val="00253D55"/>
    <w:rsid w:val="00254F5C"/>
    <w:rsid w:val="00255C21"/>
    <w:rsid w:val="00257C86"/>
    <w:rsid w:val="00262B5C"/>
    <w:rsid w:val="0027156E"/>
    <w:rsid w:val="002731B1"/>
    <w:rsid w:val="00274336"/>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42DCA"/>
    <w:rsid w:val="003514D6"/>
    <w:rsid w:val="003526EE"/>
    <w:rsid w:val="003601F7"/>
    <w:rsid w:val="00360A27"/>
    <w:rsid w:val="00361678"/>
    <w:rsid w:val="00362D70"/>
    <w:rsid w:val="00363B80"/>
    <w:rsid w:val="00364DEB"/>
    <w:rsid w:val="003715B2"/>
    <w:rsid w:val="00371D11"/>
    <w:rsid w:val="003730DF"/>
    <w:rsid w:val="00374F19"/>
    <w:rsid w:val="00375B57"/>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D7C6A"/>
    <w:rsid w:val="003E0D63"/>
    <w:rsid w:val="003E2B55"/>
    <w:rsid w:val="003E3BAF"/>
    <w:rsid w:val="003E4DAB"/>
    <w:rsid w:val="003E53C9"/>
    <w:rsid w:val="003E6B40"/>
    <w:rsid w:val="003F005F"/>
    <w:rsid w:val="003F1540"/>
    <w:rsid w:val="003F7BA1"/>
    <w:rsid w:val="00403CBE"/>
    <w:rsid w:val="004111C5"/>
    <w:rsid w:val="00411B10"/>
    <w:rsid w:val="00412DF6"/>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D4795"/>
    <w:rsid w:val="004D58A5"/>
    <w:rsid w:val="004D64DD"/>
    <w:rsid w:val="004E22D7"/>
    <w:rsid w:val="004E5EAE"/>
    <w:rsid w:val="004E7B2F"/>
    <w:rsid w:val="004F0C3C"/>
    <w:rsid w:val="004F0FA7"/>
    <w:rsid w:val="004F2BBE"/>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1B23"/>
    <w:rsid w:val="005421D9"/>
    <w:rsid w:val="00544AE0"/>
    <w:rsid w:val="00550F15"/>
    <w:rsid w:val="00560B0E"/>
    <w:rsid w:val="00561D3F"/>
    <w:rsid w:val="0056364D"/>
    <w:rsid w:val="00565B63"/>
    <w:rsid w:val="0056794F"/>
    <w:rsid w:val="005710AF"/>
    <w:rsid w:val="00573B72"/>
    <w:rsid w:val="00574D66"/>
    <w:rsid w:val="005809CF"/>
    <w:rsid w:val="005846ED"/>
    <w:rsid w:val="00590995"/>
    <w:rsid w:val="00591C73"/>
    <w:rsid w:val="0059437B"/>
    <w:rsid w:val="005965F0"/>
    <w:rsid w:val="00597D03"/>
    <w:rsid w:val="005A0ED8"/>
    <w:rsid w:val="005A3645"/>
    <w:rsid w:val="005A365C"/>
    <w:rsid w:val="005A407D"/>
    <w:rsid w:val="005A4449"/>
    <w:rsid w:val="005A5437"/>
    <w:rsid w:val="005A5D10"/>
    <w:rsid w:val="005A6DD4"/>
    <w:rsid w:val="005B20A5"/>
    <w:rsid w:val="005B2745"/>
    <w:rsid w:val="005B35FC"/>
    <w:rsid w:val="005B44AF"/>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1B42"/>
    <w:rsid w:val="0061269C"/>
    <w:rsid w:val="00614913"/>
    <w:rsid w:val="00615003"/>
    <w:rsid w:val="0062018C"/>
    <w:rsid w:val="00621FE5"/>
    <w:rsid w:val="00623EDF"/>
    <w:rsid w:val="00624B90"/>
    <w:rsid w:val="0062661F"/>
    <w:rsid w:val="00630E8B"/>
    <w:rsid w:val="00635F9B"/>
    <w:rsid w:val="00636C57"/>
    <w:rsid w:val="006431EB"/>
    <w:rsid w:val="0064667A"/>
    <w:rsid w:val="00655A96"/>
    <w:rsid w:val="006565FD"/>
    <w:rsid w:val="00657151"/>
    <w:rsid w:val="006576A2"/>
    <w:rsid w:val="00662390"/>
    <w:rsid w:val="006646D4"/>
    <w:rsid w:val="00665EAA"/>
    <w:rsid w:val="00671B5C"/>
    <w:rsid w:val="00671FB9"/>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6FD3"/>
    <w:rsid w:val="006D7A06"/>
    <w:rsid w:val="006E577D"/>
    <w:rsid w:val="006E6777"/>
    <w:rsid w:val="006E6F33"/>
    <w:rsid w:val="006F21FA"/>
    <w:rsid w:val="00700BF6"/>
    <w:rsid w:val="007012AB"/>
    <w:rsid w:val="00701701"/>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71938"/>
    <w:rsid w:val="007813F1"/>
    <w:rsid w:val="0078172F"/>
    <w:rsid w:val="007832BB"/>
    <w:rsid w:val="00783854"/>
    <w:rsid w:val="00790FBC"/>
    <w:rsid w:val="0079217A"/>
    <w:rsid w:val="00794E0B"/>
    <w:rsid w:val="0079571E"/>
    <w:rsid w:val="007976D8"/>
    <w:rsid w:val="007A1313"/>
    <w:rsid w:val="007B0CE6"/>
    <w:rsid w:val="007B1078"/>
    <w:rsid w:val="007B1F31"/>
    <w:rsid w:val="007B427A"/>
    <w:rsid w:val="007B5F67"/>
    <w:rsid w:val="007B6B0A"/>
    <w:rsid w:val="007C11C0"/>
    <w:rsid w:val="007C28BD"/>
    <w:rsid w:val="007C41AF"/>
    <w:rsid w:val="007D7D44"/>
    <w:rsid w:val="007D7F88"/>
    <w:rsid w:val="007E21D0"/>
    <w:rsid w:val="007E3962"/>
    <w:rsid w:val="007E4AC9"/>
    <w:rsid w:val="007E5171"/>
    <w:rsid w:val="007E6607"/>
    <w:rsid w:val="007E70CB"/>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5468"/>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68E0"/>
    <w:rsid w:val="00907B42"/>
    <w:rsid w:val="00911E79"/>
    <w:rsid w:val="00913363"/>
    <w:rsid w:val="009136AE"/>
    <w:rsid w:val="009218FC"/>
    <w:rsid w:val="00927364"/>
    <w:rsid w:val="00927639"/>
    <w:rsid w:val="00932C5B"/>
    <w:rsid w:val="009333BE"/>
    <w:rsid w:val="00936731"/>
    <w:rsid w:val="00937956"/>
    <w:rsid w:val="00945A72"/>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02F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1C61"/>
    <w:rsid w:val="00A62540"/>
    <w:rsid w:val="00A6379B"/>
    <w:rsid w:val="00A64086"/>
    <w:rsid w:val="00A72516"/>
    <w:rsid w:val="00A77652"/>
    <w:rsid w:val="00A80ED1"/>
    <w:rsid w:val="00A826A9"/>
    <w:rsid w:val="00A82C21"/>
    <w:rsid w:val="00A82D8D"/>
    <w:rsid w:val="00A84DB8"/>
    <w:rsid w:val="00A95E50"/>
    <w:rsid w:val="00AA3770"/>
    <w:rsid w:val="00AA5B4A"/>
    <w:rsid w:val="00AB31B5"/>
    <w:rsid w:val="00AB32CD"/>
    <w:rsid w:val="00AB36E2"/>
    <w:rsid w:val="00AB424C"/>
    <w:rsid w:val="00AB498B"/>
    <w:rsid w:val="00AB4A00"/>
    <w:rsid w:val="00AB5025"/>
    <w:rsid w:val="00AB5541"/>
    <w:rsid w:val="00AB6B92"/>
    <w:rsid w:val="00AC10CD"/>
    <w:rsid w:val="00AC2FB7"/>
    <w:rsid w:val="00AC381E"/>
    <w:rsid w:val="00AC4650"/>
    <w:rsid w:val="00AD4DBA"/>
    <w:rsid w:val="00AD6C12"/>
    <w:rsid w:val="00AE2DCB"/>
    <w:rsid w:val="00AE426F"/>
    <w:rsid w:val="00AE5F94"/>
    <w:rsid w:val="00AE6632"/>
    <w:rsid w:val="00AF47FD"/>
    <w:rsid w:val="00AF62DF"/>
    <w:rsid w:val="00B00BDF"/>
    <w:rsid w:val="00B01971"/>
    <w:rsid w:val="00B02F86"/>
    <w:rsid w:val="00B03426"/>
    <w:rsid w:val="00B04A14"/>
    <w:rsid w:val="00B057BB"/>
    <w:rsid w:val="00B12C32"/>
    <w:rsid w:val="00B12C68"/>
    <w:rsid w:val="00B157E7"/>
    <w:rsid w:val="00B178A6"/>
    <w:rsid w:val="00B22B43"/>
    <w:rsid w:val="00B231B1"/>
    <w:rsid w:val="00B310CF"/>
    <w:rsid w:val="00B31116"/>
    <w:rsid w:val="00B32CD6"/>
    <w:rsid w:val="00B40E20"/>
    <w:rsid w:val="00B41AE8"/>
    <w:rsid w:val="00B4304E"/>
    <w:rsid w:val="00B44EFC"/>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4D2A"/>
    <w:rsid w:val="00B758A9"/>
    <w:rsid w:val="00B772CD"/>
    <w:rsid w:val="00B80B19"/>
    <w:rsid w:val="00B841CE"/>
    <w:rsid w:val="00B8467E"/>
    <w:rsid w:val="00B87D88"/>
    <w:rsid w:val="00B905A7"/>
    <w:rsid w:val="00B91CB2"/>
    <w:rsid w:val="00B9431B"/>
    <w:rsid w:val="00BA0453"/>
    <w:rsid w:val="00BA4936"/>
    <w:rsid w:val="00BA71D2"/>
    <w:rsid w:val="00BB094B"/>
    <w:rsid w:val="00BB2476"/>
    <w:rsid w:val="00BB3431"/>
    <w:rsid w:val="00BB410D"/>
    <w:rsid w:val="00BB5D02"/>
    <w:rsid w:val="00BB7BBB"/>
    <w:rsid w:val="00BB7EC3"/>
    <w:rsid w:val="00BC31C9"/>
    <w:rsid w:val="00BC3F98"/>
    <w:rsid w:val="00BC59CB"/>
    <w:rsid w:val="00BC7062"/>
    <w:rsid w:val="00BD03B9"/>
    <w:rsid w:val="00BD5A89"/>
    <w:rsid w:val="00BD7F5E"/>
    <w:rsid w:val="00BE0140"/>
    <w:rsid w:val="00BE5061"/>
    <w:rsid w:val="00BF324B"/>
    <w:rsid w:val="00BF3849"/>
    <w:rsid w:val="00C001E6"/>
    <w:rsid w:val="00C016A5"/>
    <w:rsid w:val="00C02233"/>
    <w:rsid w:val="00C0392F"/>
    <w:rsid w:val="00C03A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671AF"/>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116"/>
    <w:rsid w:val="00CF47D2"/>
    <w:rsid w:val="00CF4BC7"/>
    <w:rsid w:val="00D001AA"/>
    <w:rsid w:val="00D01783"/>
    <w:rsid w:val="00D04CCC"/>
    <w:rsid w:val="00D04EA0"/>
    <w:rsid w:val="00D07B04"/>
    <w:rsid w:val="00D10C6B"/>
    <w:rsid w:val="00D12836"/>
    <w:rsid w:val="00D151BC"/>
    <w:rsid w:val="00D23C38"/>
    <w:rsid w:val="00D25685"/>
    <w:rsid w:val="00D27C96"/>
    <w:rsid w:val="00D304B9"/>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5708"/>
    <w:rsid w:val="00DF6115"/>
    <w:rsid w:val="00DF654F"/>
    <w:rsid w:val="00DF7652"/>
    <w:rsid w:val="00E0061B"/>
    <w:rsid w:val="00E007A2"/>
    <w:rsid w:val="00E047CB"/>
    <w:rsid w:val="00E04CD4"/>
    <w:rsid w:val="00E121A9"/>
    <w:rsid w:val="00E1237C"/>
    <w:rsid w:val="00E12793"/>
    <w:rsid w:val="00E13C40"/>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E9"/>
    <w:rsid w:val="00ED71FA"/>
    <w:rsid w:val="00ED75E2"/>
    <w:rsid w:val="00EE08EE"/>
    <w:rsid w:val="00EE0A5F"/>
    <w:rsid w:val="00EE2BB1"/>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1F94"/>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 w:val="195566FC"/>
    <w:rsid w:val="2A5A4B26"/>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character" w:styleId="9">
    <w:name w:val="Strong"/>
    <w:basedOn w:val="6"/>
    <w:qFormat/>
    <w:uiPriority w:val="22"/>
    <w:rPr>
      <w:b/>
      <w:bCs/>
    </w:rPr>
  </w:style>
  <w:style w:type="paragraph" w:styleId="10">
    <w:name w:val="Balloon Text"/>
    <w:basedOn w:val="1"/>
    <w:link w:val="21"/>
    <w:semiHidden/>
    <w:unhideWhenUsed/>
    <w:uiPriority w:val="99"/>
    <w:pPr>
      <w:spacing w:after="0" w:line="240" w:lineRule="auto"/>
    </w:pPr>
    <w:rPr>
      <w:rFonts w:ascii="Segoe UI" w:hAnsi="Segoe UI" w:cs="Segoe UI"/>
      <w:sz w:val="18"/>
      <w:szCs w:val="18"/>
    </w:rPr>
  </w:style>
  <w:style w:type="paragraph" w:styleId="11">
    <w:name w:val="header"/>
    <w:basedOn w:val="1"/>
    <w:link w:val="17"/>
    <w:unhideWhenUsed/>
    <w:uiPriority w:val="0"/>
    <w:pPr>
      <w:tabs>
        <w:tab w:val="center" w:pos="4419"/>
        <w:tab w:val="right" w:pos="8838"/>
      </w:tabs>
      <w:spacing w:after="0" w:line="240" w:lineRule="auto"/>
    </w:pPr>
  </w:style>
  <w:style w:type="paragraph" w:styleId="12">
    <w:name w:val="Body Text Indent"/>
    <w:basedOn w:val="1"/>
    <w:link w:val="30"/>
    <w:semiHidden/>
    <w:unhideWhenUsed/>
    <w:uiPriority w:val="99"/>
    <w:pPr>
      <w:spacing w:after="120"/>
      <w:ind w:left="283"/>
    </w:p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14">
    <w:name w:val="footer"/>
    <w:basedOn w:val="1"/>
    <w:link w:val="18"/>
    <w:unhideWhenUsed/>
    <w:uiPriority w:val="99"/>
    <w:pPr>
      <w:tabs>
        <w:tab w:val="center" w:pos="4419"/>
        <w:tab w:val="right" w:pos="8838"/>
      </w:tabs>
      <w:spacing w:after="0" w:line="240" w:lineRule="auto"/>
    </w:pPr>
  </w:style>
  <w:style w:type="paragraph" w:styleId="15">
    <w:name w:val="Body Text First Indent 2"/>
    <w:basedOn w:val="12"/>
    <w:link w:val="31"/>
    <w:semiHidden/>
    <w:unhideWhenUsed/>
    <w:uiPriority w:val="99"/>
    <w:pPr>
      <w:spacing w:after="160"/>
      <w:ind w:left="360" w:firstLine="360"/>
    </w:pPr>
  </w:style>
  <w:style w:type="table" w:styleId="16">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Encabezado Car"/>
    <w:basedOn w:val="6"/>
    <w:link w:val="11"/>
    <w:uiPriority w:val="0"/>
  </w:style>
  <w:style w:type="character" w:customStyle="1" w:styleId="18">
    <w:name w:val="Pie de página Car"/>
    <w:basedOn w:val="6"/>
    <w:link w:val="14"/>
    <w:uiPriority w:val="99"/>
  </w:style>
  <w:style w:type="paragraph" w:styleId="19">
    <w:name w:val="List Paragraph"/>
    <w:basedOn w:val="1"/>
    <w:link w:val="23"/>
    <w:qFormat/>
    <w:uiPriority w:val="34"/>
    <w:pPr>
      <w:ind w:left="720"/>
      <w:contextualSpacing/>
    </w:pPr>
  </w:style>
  <w:style w:type="character" w:styleId="20">
    <w:name w:val="Placeholder Text"/>
    <w:basedOn w:val="6"/>
    <w:semiHidden/>
    <w:uiPriority w:val="99"/>
    <w:rPr>
      <w:color w:val="808080"/>
    </w:rPr>
  </w:style>
  <w:style w:type="character" w:customStyle="1" w:styleId="21">
    <w:name w:val="Texto de globo Car"/>
    <w:basedOn w:val="6"/>
    <w:link w:val="10"/>
    <w:semiHidden/>
    <w:uiPriority w:val="99"/>
    <w:rPr>
      <w:rFonts w:ascii="Segoe UI" w:hAnsi="Segoe UI" w:cs="Segoe UI"/>
      <w:sz w:val="18"/>
      <w:szCs w:val="18"/>
    </w:rPr>
  </w:style>
  <w:style w:type="character" w:customStyle="1" w:styleId="22">
    <w:name w:val="Título 3 Car"/>
    <w:basedOn w:val="6"/>
    <w:link w:val="4"/>
    <w:uiPriority w:val="9"/>
    <w:rPr>
      <w:rFonts w:ascii="Times New Roman" w:hAnsi="Times New Roman" w:eastAsia="Times New Roman" w:cs="Times New Roman"/>
      <w:b/>
      <w:bCs/>
      <w:sz w:val="27"/>
      <w:szCs w:val="27"/>
      <w:lang w:eastAsia="es-PE"/>
    </w:rPr>
  </w:style>
  <w:style w:type="character" w:customStyle="1" w:styleId="23">
    <w:name w:val="Párrafo de lista Car"/>
    <w:link w:val="19"/>
    <w:qFormat/>
    <w:uiPriority w:val="34"/>
  </w:style>
  <w:style w:type="character" w:customStyle="1" w:styleId="24">
    <w:name w:val="Título 4 Car"/>
    <w:basedOn w:val="6"/>
    <w:link w:val="5"/>
    <w:semiHidden/>
    <w:uiPriority w:val="9"/>
    <w:rPr>
      <w:rFonts w:asciiTheme="majorHAnsi" w:hAnsiTheme="majorHAnsi" w:eastAsiaTheme="majorEastAsia" w:cstheme="majorBidi"/>
      <w:i/>
      <w:iCs/>
      <w:color w:val="2E75B6" w:themeColor="accent1" w:themeShade="BF"/>
    </w:rPr>
  </w:style>
  <w:style w:type="character" w:customStyle="1" w:styleId="25">
    <w:name w:val="Título 1 Car"/>
    <w:basedOn w:val="6"/>
    <w:link w:val="2"/>
    <w:uiPriority w:val="9"/>
    <w:rPr>
      <w:rFonts w:asciiTheme="majorHAnsi" w:hAnsiTheme="majorHAnsi" w:eastAsiaTheme="majorEastAsia" w:cstheme="majorBidi"/>
      <w:color w:val="2E75B6" w:themeColor="accent1" w:themeShade="BF"/>
      <w:sz w:val="32"/>
      <w:szCs w:val="32"/>
    </w:rPr>
  </w:style>
  <w:style w:type="paragraph" w:styleId="26">
    <w:name w:val="No Spacing"/>
    <w:qFormat/>
    <w:uiPriority w:val="1"/>
    <w:pPr>
      <w:spacing w:after="0" w:line="240" w:lineRule="auto"/>
    </w:pPr>
    <w:rPr>
      <w:rFonts w:asciiTheme="minorHAnsi" w:hAnsiTheme="minorHAnsi" w:eastAsiaTheme="minorHAnsi" w:cstheme="minorBidi"/>
      <w:sz w:val="22"/>
      <w:szCs w:val="22"/>
      <w:lang w:val="es-PE" w:eastAsia="en-US" w:bidi="ar-SA"/>
    </w:rPr>
  </w:style>
  <w:style w:type="character" w:customStyle="1" w:styleId="27">
    <w:name w:val="Título 2 Car"/>
    <w:basedOn w:val="6"/>
    <w:link w:val="3"/>
    <w:uiPriority w:val="9"/>
    <w:rPr>
      <w:rFonts w:asciiTheme="majorHAnsi" w:hAnsiTheme="majorHAnsi" w:eastAsiaTheme="majorEastAsia" w:cstheme="majorBidi"/>
      <w:color w:val="2E75B6" w:themeColor="accent1" w:themeShade="BF"/>
      <w:sz w:val="26"/>
      <w:szCs w:val="26"/>
    </w:rPr>
  </w:style>
  <w:style w:type="table" w:customStyle="1" w:styleId="28">
    <w:name w:val="Grid Table Light"/>
    <w:basedOn w:val="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9">
    <w:name w:val="Tabla con cuadrícula1"/>
    <w:basedOn w:val="7"/>
    <w:uiPriority w:val="39"/>
    <w:pPr>
      <w:spacing w:after="0" w:line="240" w:lineRule="auto"/>
      <w:jc w:val="both"/>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0">
    <w:name w:val="Sangría de texto normal Car"/>
    <w:basedOn w:val="6"/>
    <w:link w:val="12"/>
    <w:semiHidden/>
    <w:uiPriority w:val="99"/>
  </w:style>
  <w:style w:type="character" w:customStyle="1" w:styleId="31">
    <w:name w:val="Texto independiente primera sangría 2 Car"/>
    <w:basedOn w:val="30"/>
    <w:link w:val="15"/>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7A780B-8711-44DE-8BE7-38DA06AAA128}">
  <ds:schemaRefs/>
</ds:datastoreItem>
</file>

<file path=docProps/app.xml><?xml version="1.0" encoding="utf-8"?>
<Properties xmlns="http://schemas.openxmlformats.org/officeDocument/2006/extended-properties" xmlns:vt="http://schemas.openxmlformats.org/officeDocument/2006/docPropsVTypes">
  <Template>Normal</Template>
  <Pages>5</Pages>
  <Words>1285</Words>
  <Characters>7327</Characters>
  <Lines>61</Lines>
  <Paragraphs>17</Paragraphs>
  <TotalTime>5</TotalTime>
  <ScaleCrop>false</ScaleCrop>
  <LinksUpToDate>false</LinksUpToDate>
  <CharactersWithSpaces>8595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2023-02-09T15:44:00Z</dcterms:created>
  <dc:creator>sony</dc:creator>
  <cp:lastModifiedBy>pc</cp:lastModifiedBy>
  <cp:lastPrinted>2023-02-17T22:30:35Z</cp:lastPrinted>
  <dcterms:modified xsi:type="dcterms:W3CDTF">2023-02-17T22:31:07Z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3082-11.2.0.11486</vt:lpwstr>
  </property>
  <property fmtid="{D5CDD505-2E9C-101B-9397-08002B2CF9AE}" pid="3" name="ICV">
    <vt:lpwstr>70C47A2236054966A29AE46D449BA380</vt:lpwstr>
  </property>
</Properties>
</file>