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7F0558F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0A3319">
        <w:rPr>
          <w:rFonts w:cstheme="minorHAnsi"/>
          <w:iCs/>
          <w:szCs w:val="24"/>
        </w:rPr>
        <w:t>04</w:t>
      </w:r>
      <w:r w:rsidRPr="0088673D">
        <w:rPr>
          <w:rFonts w:cstheme="minorHAnsi"/>
          <w:iCs/>
          <w:szCs w:val="24"/>
        </w:rPr>
        <w:t xml:space="preserve"> de </w:t>
      </w:r>
      <w:r w:rsidR="000A3319">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56402436" w:rsidR="00C149D8" w:rsidRPr="00E52CFA" w:rsidRDefault="00597FF7" w:rsidP="00C149D8">
      <w:pPr>
        <w:rPr>
          <w:rFonts w:cstheme="minorHAnsi"/>
          <w:iCs/>
          <w:sz w:val="24"/>
          <w:szCs w:val="24"/>
          <w:lang w:val="it-IT"/>
        </w:rPr>
      </w:pPr>
      <w:r>
        <w:rPr>
          <w:rFonts w:cstheme="minorHAnsi"/>
          <w:iCs/>
          <w:sz w:val="24"/>
          <w:szCs w:val="24"/>
          <w:lang w:val="it-IT"/>
        </w:rPr>
        <w:t xml:space="preserve"> </w:t>
      </w: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DD5C22">
          <w:headerReference w:type="default" r:id="rId8"/>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3391C327" w:rsid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w:t>
            </w:r>
            <w:r w:rsidR="00617206">
              <w:rPr>
                <w:rFonts w:ascii="Agency FB" w:hAnsi="Agency FB"/>
                <w:sz w:val="20"/>
                <w:szCs w:val="20"/>
                <w:lang w:eastAsia="es-PE"/>
              </w:rPr>
              <w:t>.58</w:t>
            </w:r>
            <w:r w:rsidRPr="004B40BA">
              <w:rPr>
                <w:rFonts w:ascii="Agency FB" w:hAnsi="Agency FB"/>
                <w:sz w:val="20"/>
                <w:szCs w:val="20"/>
                <w:lang w:eastAsia="es-PE"/>
              </w:rPr>
              <w:t xml:space="preserve"> kg dinámico como mínimo.</w:t>
            </w:r>
          </w:p>
          <w:p w14:paraId="6FF8A449" w14:textId="2AE025C1" w:rsidR="004B40BA" w:rsidRPr="004B40BA" w:rsidRDefault="00617206"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7707E3">
              <w:rPr>
                <w:rFonts w:ascii="Agency FB" w:hAnsi="Agency FB"/>
                <w:sz w:val="20"/>
                <w:szCs w:val="20"/>
                <w:lang w:eastAsia="es-PE"/>
              </w:rPr>
              <w:t xml:space="preserve"> </w:t>
            </w:r>
            <w:r>
              <w:rPr>
                <w:rFonts w:ascii="Agency FB" w:hAnsi="Agency FB"/>
                <w:sz w:val="20"/>
                <w:szCs w:val="20"/>
                <w:lang w:eastAsia="es-PE"/>
              </w:rPr>
              <w:t xml:space="preserve"> </w:t>
            </w:r>
            <w:r w:rsidR="004B40BA" w:rsidRPr="004B40BA">
              <w:rPr>
                <w:rFonts w:ascii="Agency FB" w:hAnsi="Agency FB"/>
                <w:sz w:val="20"/>
                <w:szCs w:val="20"/>
                <w:lang w:eastAsia="es-PE"/>
              </w:rPr>
              <w:t>1700</w:t>
            </w:r>
            <w:r>
              <w:rPr>
                <w:rFonts w:ascii="Agency FB" w:hAnsi="Agency FB"/>
                <w:sz w:val="20"/>
                <w:szCs w:val="20"/>
                <w:lang w:eastAsia="es-PE"/>
              </w:rPr>
              <w:t>.97</w:t>
            </w:r>
            <w:r w:rsidR="004B40BA" w:rsidRPr="004B40BA">
              <w:rPr>
                <w:rFonts w:ascii="Agency FB" w:hAnsi="Agency FB"/>
                <w:sz w:val="20"/>
                <w:szCs w:val="20"/>
                <w:lang w:eastAsia="es-PE"/>
              </w:rPr>
              <w:t xml:space="preserve">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415317B"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r>
            <w:r w:rsidR="007707E3">
              <w:rPr>
                <w:rFonts w:ascii="Agency FB" w:hAnsi="Agency FB"/>
                <w:sz w:val="20"/>
                <w:szCs w:val="20"/>
                <w:lang w:eastAsia="es-PE"/>
              </w:rPr>
              <w:t xml:space="preserve"> </w:t>
            </w:r>
            <w:r w:rsidRPr="004B40BA">
              <w:rPr>
                <w:rFonts w:ascii="Agency FB" w:hAnsi="Agency FB"/>
                <w:sz w:val="20"/>
                <w:szCs w:val="20"/>
                <w:lang w:eastAsia="es-PE"/>
              </w:rPr>
              <w:t>UL 2416</w:t>
            </w:r>
          </w:p>
          <w:p w14:paraId="76809B24" w14:textId="6C1829C0"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UL 60950-1</w:t>
            </w:r>
          </w:p>
          <w:p w14:paraId="3ECCA97E" w14:textId="7606A481"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397ACA" w:rsidRDefault="007F18DC" w:rsidP="004B40BA">
            <w:pPr>
              <w:tabs>
                <w:tab w:val="left" w:pos="2482"/>
                <w:tab w:val="left" w:pos="3475"/>
              </w:tabs>
              <w:spacing w:line="240" w:lineRule="auto"/>
              <w:contextualSpacing/>
              <w:rPr>
                <w:rFonts w:ascii="Agency FB" w:hAnsi="Agency FB"/>
                <w:sz w:val="20"/>
                <w:szCs w:val="20"/>
                <w:lang w:val="it-IT" w:eastAsia="es-PE"/>
              </w:rPr>
            </w:pPr>
            <w:r w:rsidRPr="00397ACA">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397ACA">
            <w:pPr>
              <w:tabs>
                <w:tab w:val="left" w:pos="305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Valor típico 4 ms :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397ACA">
        <w:trPr>
          <w:trHeight w:val="121"/>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397ACA" w:rsidRDefault="00C149D8" w:rsidP="00397ACA">
            <w:r w:rsidRPr="00397ACA">
              <w:rPr>
                <w:rFonts w:ascii="Arial Narrow" w:eastAsia="Times New Roman" w:hAnsi="Arial Narrow"/>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310B993D" w:rsidR="00C149D8" w:rsidRPr="00397ACA" w:rsidRDefault="00C149D8" w:rsidP="00397ACA">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397ACA">
            <w:pPr>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397ACA">
            <w:pPr>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29180CBE" w14:textId="1AADA679" w:rsidR="00767853" w:rsidRDefault="00767853" w:rsidP="00C149D8">
      <w:pPr>
        <w:spacing w:after="0" w:line="240" w:lineRule="auto"/>
        <w:rPr>
          <w:rFonts w:ascii="Arial Narrow" w:hAnsi="Arial Narrow" w:cs="Arial"/>
          <w:i/>
          <w:sz w:val="24"/>
          <w:szCs w:val="24"/>
          <w:vertAlign w:val="subscript"/>
          <w:lang w:val="es-ES"/>
        </w:rPr>
      </w:pPr>
      <w:r>
        <w:rPr>
          <w:rFonts w:ascii="Arial Narrow" w:hAnsi="Arial Narrow" w:cs="Arial"/>
          <w:i/>
          <w:sz w:val="24"/>
          <w:szCs w:val="24"/>
          <w:vertAlign w:val="subscript"/>
          <w:lang w:val="es-ES"/>
        </w:rPr>
        <w:t>.</w:t>
      </w:r>
    </w:p>
    <w:p w14:paraId="0B60ADA5" w14:textId="77777777" w:rsidR="00767853" w:rsidRDefault="00767853" w:rsidP="00C149D8">
      <w:pPr>
        <w:spacing w:after="0" w:line="240" w:lineRule="auto"/>
        <w:rPr>
          <w:rFonts w:ascii="Arial Narrow" w:hAnsi="Arial Narrow" w:cs="Arial"/>
          <w:i/>
          <w:sz w:val="24"/>
          <w:szCs w:val="24"/>
          <w:vertAlign w:val="subscript"/>
          <w:lang w:val="es-ES"/>
        </w:rPr>
      </w:pPr>
    </w:p>
    <w:p w14:paraId="653CC2CB" w14:textId="77777777" w:rsidR="00767853" w:rsidRPr="009220EF" w:rsidRDefault="00767853"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4E4DD1">
            <w:pPr>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397ACA">
        <w:trPr>
          <w:trHeight w:val="19"/>
        </w:trPr>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Pr="00397ACA" w:rsidRDefault="00C149D8" w:rsidP="00397ACA">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DD5C22">
      <w:headerReference w:type="even" r:id="rId10"/>
      <w:headerReference w:type="default" r:id="rId11"/>
      <w:footerReference w:type="default" r:id="rId12"/>
      <w:headerReference w:type="first" r:id="rId13"/>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5254" w14:textId="77777777" w:rsidR="00DD5C22" w:rsidRDefault="00DD5C22" w:rsidP="008C6921">
      <w:pPr>
        <w:spacing w:after="0" w:line="240" w:lineRule="auto"/>
      </w:pPr>
      <w:r>
        <w:separator/>
      </w:r>
    </w:p>
  </w:endnote>
  <w:endnote w:type="continuationSeparator" w:id="0">
    <w:p w14:paraId="7C420001" w14:textId="77777777" w:rsidR="00DD5C22" w:rsidRDefault="00DD5C22"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949641445" name="Imagen 94964144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2A3D" w14:textId="77777777" w:rsidR="00DD5C22" w:rsidRDefault="00DD5C22" w:rsidP="008C6921">
      <w:pPr>
        <w:spacing w:after="0" w:line="240" w:lineRule="auto"/>
      </w:pPr>
      <w:r>
        <w:separator/>
      </w:r>
    </w:p>
  </w:footnote>
  <w:footnote w:type="continuationSeparator" w:id="0">
    <w:p w14:paraId="4F6518F8" w14:textId="77777777" w:rsidR="00DD5C22" w:rsidRDefault="00DD5C22"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682012195" name="Imagen 1682012195"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A3319"/>
    <w:rsid w:val="000C562F"/>
    <w:rsid w:val="00101BF9"/>
    <w:rsid w:val="00145539"/>
    <w:rsid w:val="00170F6B"/>
    <w:rsid w:val="00175040"/>
    <w:rsid w:val="001E1788"/>
    <w:rsid w:val="00250AC1"/>
    <w:rsid w:val="0029279B"/>
    <w:rsid w:val="002B7281"/>
    <w:rsid w:val="00366035"/>
    <w:rsid w:val="00386855"/>
    <w:rsid w:val="00397ACA"/>
    <w:rsid w:val="003C15D5"/>
    <w:rsid w:val="004274C3"/>
    <w:rsid w:val="00465577"/>
    <w:rsid w:val="0047001B"/>
    <w:rsid w:val="00484D1D"/>
    <w:rsid w:val="004B40BA"/>
    <w:rsid w:val="004E4DD1"/>
    <w:rsid w:val="004E6687"/>
    <w:rsid w:val="005126E2"/>
    <w:rsid w:val="0053163F"/>
    <w:rsid w:val="0054247F"/>
    <w:rsid w:val="005519B3"/>
    <w:rsid w:val="005641F7"/>
    <w:rsid w:val="00597FF7"/>
    <w:rsid w:val="00617206"/>
    <w:rsid w:val="007026F2"/>
    <w:rsid w:val="007210F4"/>
    <w:rsid w:val="0073086A"/>
    <w:rsid w:val="00746DA3"/>
    <w:rsid w:val="00767853"/>
    <w:rsid w:val="007707E3"/>
    <w:rsid w:val="007833B3"/>
    <w:rsid w:val="00791354"/>
    <w:rsid w:val="007B49B0"/>
    <w:rsid w:val="007C0C10"/>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66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2135D"/>
    <w:rsid w:val="00D51ADE"/>
    <w:rsid w:val="00D72324"/>
    <w:rsid w:val="00D72C60"/>
    <w:rsid w:val="00D77A84"/>
    <w:rsid w:val="00D843CC"/>
    <w:rsid w:val="00DD5C22"/>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456E-B639-464B-B7B3-1BADF199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37</cp:revision>
  <cp:lastPrinted>2024-03-04T14:44:00Z</cp:lastPrinted>
  <dcterms:created xsi:type="dcterms:W3CDTF">2024-02-20T15:37:00Z</dcterms:created>
  <dcterms:modified xsi:type="dcterms:W3CDTF">2024-03-04T14:53:00Z</dcterms:modified>
</cp:coreProperties>
</file>