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1E2E9A">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E6819" w:rsidRPr="00246F49">
              <w:rPr>
                <w:rFonts w:asciiTheme="majorHAnsi" w:hAnsiTheme="majorHAnsi" w:cstheme="majorHAnsi"/>
                <w:sz w:val="20"/>
                <w:szCs w:val="20"/>
              </w:rPr>
              <w:t>SERVIDORES</w:t>
            </w:r>
            <w:r w:rsidRPr="00246F49">
              <w:rPr>
                <w:rFonts w:asciiTheme="majorHAnsi" w:hAnsiTheme="majorHAnsi" w:cstheme="majorHAnsi"/>
                <w:sz w:val="20"/>
                <w:szCs w:val="20"/>
              </w:rPr>
              <w:t xml:space="preserve"> 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246F49" w:rsidRDefault="00202F3C"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SWITCH 48 p 1G/10GBase-T 4 p 100G QSFP+/28 </w:t>
                  </w:r>
                </w:p>
                <w:p w14:paraId="355A6700" w14:textId="74BE5961"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246F49" w:rsidRDefault="00E41F24" w:rsidP="0000660E">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p w14:paraId="7D5733D6" w14:textId="2DD43DA5"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w:t>
                  </w:r>
                  <w:r w:rsidRPr="00246F49">
                    <w:rPr>
                      <w:rFonts w:asciiTheme="majorHAnsi" w:hAnsiTheme="majorHAnsi" w:cstheme="majorHAnsi"/>
                      <w:b/>
                      <w:bCs/>
                      <w:sz w:val="18"/>
                      <w:szCs w:val="18"/>
                    </w:rPr>
                    <w:t xml:space="preserve"> </w:t>
                  </w:r>
                  <w:r w:rsidR="00246F49" w:rsidRPr="00246F49">
                    <w:rPr>
                      <w:rFonts w:asciiTheme="majorHAnsi" w:hAnsiTheme="majorHAnsi" w:cstheme="majorHAnsi"/>
                      <w:b/>
                      <w:bCs/>
                      <w:sz w:val="18"/>
                      <w:szCs w:val="18"/>
                    </w:rPr>
                    <w:t>SIGA:</w:t>
                  </w:r>
                  <w:r w:rsidRPr="00246F49">
                    <w:rPr>
                      <w:rFonts w:asciiTheme="majorHAnsi" w:hAnsiTheme="majorHAnsi" w:cstheme="majorHAnsi"/>
                      <w:sz w:val="18"/>
                      <w:szCs w:val="18"/>
                    </w:rPr>
                    <w:t xml:space="preserve"> </w:t>
                  </w:r>
                  <w:r w:rsidR="004B4111" w:rsidRPr="004B4111">
                    <w:rPr>
                      <w:rFonts w:asciiTheme="majorHAnsi" w:hAnsiTheme="majorHAnsi" w:cstheme="majorHAnsi"/>
                      <w:sz w:val="18"/>
                      <w:szCs w:val="18"/>
                      <w:lang w:eastAsia="es-PE"/>
                    </w:rPr>
                    <w:t>767500610008</w:t>
                  </w:r>
                  <w:r w:rsidR="004B4111" w:rsidRPr="004B4111">
                    <w:rPr>
                      <w:rFonts w:asciiTheme="majorHAnsi" w:hAnsiTheme="majorHAnsi" w:cstheme="majorHAnsi"/>
                      <w:sz w:val="18"/>
                      <w:szCs w:val="18"/>
                      <w:lang w:eastAsia="es-PE"/>
                    </w:rPr>
                    <w:tab/>
                    <w:t>TRANSCEIVER</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r w:rsidR="00217A3B" w:rsidRPr="00246F49"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Default="00217A3B" w:rsidP="0000660E">
                  <w:pPr>
                    <w:spacing w:line="240" w:lineRule="auto"/>
                    <w:contextualSpacing/>
                    <w:rPr>
                      <w:rFonts w:asciiTheme="majorHAnsi" w:hAnsiTheme="majorHAnsi" w:cstheme="majorHAnsi"/>
                      <w:sz w:val="18"/>
                      <w:szCs w:val="18"/>
                    </w:rPr>
                  </w:pPr>
                  <w:r w:rsidRPr="00217A3B">
                    <w:rPr>
                      <w:rFonts w:asciiTheme="majorHAnsi" w:hAnsiTheme="majorHAnsi" w:cstheme="majorHAnsi"/>
                      <w:sz w:val="18"/>
                      <w:szCs w:val="18"/>
                    </w:rPr>
                    <w:t>INYECTOR POE 24 PUERTOS</w:t>
                  </w:r>
                </w:p>
                <w:p w14:paraId="2E30E303" w14:textId="6D9D4F9E" w:rsidR="004B4111" w:rsidRPr="00246F49" w:rsidRDefault="004B4111"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Pr>
                      <w:rFonts w:asciiTheme="majorHAnsi" w:hAnsiTheme="majorHAnsi" w:cstheme="majorHAnsi"/>
                      <w:sz w:val="18"/>
                      <w:szCs w:val="18"/>
                    </w:rPr>
                    <w:t xml:space="preserve">: </w:t>
                  </w:r>
                  <w:r w:rsidRPr="004B4111">
                    <w:rPr>
                      <w:rFonts w:asciiTheme="majorHAnsi" w:hAnsiTheme="majorHAnsi" w:cstheme="majorHAnsi"/>
                      <w:sz w:val="18"/>
                      <w:szCs w:val="18"/>
                    </w:rPr>
                    <w:t>952281170088</w:t>
                  </w:r>
                  <w:r w:rsidRPr="004B4111">
                    <w:rPr>
                      <w:rFonts w:asciiTheme="majorHAnsi" w:hAnsiTheme="majorHAnsi" w:cstheme="majorHAnsi"/>
                      <w:sz w:val="18"/>
                      <w:szCs w:val="18"/>
                    </w:rPr>
                    <w:tab/>
                    <w:t>SWITCH PARA RED DE 24 PUERTOS POE</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34790A" w:rsidRPr="00246F49" w14:paraId="310E4E65"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46F49" w:rsidRDefault="00882E6B"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2B748B3C" w14:textId="4343F76E" w:rsidR="004F215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4B4111" w:rsidRPr="00246F49" w14:paraId="69FADCBB"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FD3BA" w14:textId="1BC1D719"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05A4B5B" w14:textId="35C2C145" w:rsidR="004B4111" w:rsidRPr="00246F49" w:rsidRDefault="004B4111" w:rsidP="004B4111">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09B228" w14:textId="0B7D4E82"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04890B" w14:textId="4C8A2523"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9A3FCD0"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7B6B19A7" w14:textId="1954AAB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56C41C79" w14:textId="6026A6F1"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C8521A7" w14:textId="45DF51AE"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5A68D962" w14:textId="234D49CB"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03687D04"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5A90B1F5" w14:textId="6714B275"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15801E81" w14:textId="200F17CF"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6F1F0171" w14:textId="7E1129DA"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1387504D" w14:textId="737F7F3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49206460" w14:textId="7D41287D"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7AB79EDF" w14:textId="47BB41D0"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Uso con cualquier conmutador Ethernet: pasa toda la información de gestión de forma transparente</w:t>
            </w:r>
          </w:p>
          <w:p w14:paraId="7156D5B5" w14:textId="15537EA4"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4 indicadores LED de estado- - 1 LED VERDE de potencia principal</w:t>
            </w:r>
          </w:p>
          <w:p w14:paraId="470A1CAC" w14:textId="3F2E1AD7" w:rsidR="004B4111" w:rsidRPr="00246F49"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C149D8"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CAPACIDAD LEGAL DEL POSTOR:</w:t>
            </w:r>
          </w:p>
          <w:p w14:paraId="7A57248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149D8"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A90054"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r w:rsidR="00A90054" w:rsidRPr="00246F49">
              <w:rPr>
                <w:rFonts w:asciiTheme="majorHAnsi" w:hAnsiTheme="majorHAnsi" w:cstheme="majorHAnsi"/>
                <w:sz w:val="20"/>
                <w:szCs w:val="20"/>
              </w:rPr>
              <w:t>.</w:t>
            </w:r>
          </w:p>
          <w:p w14:paraId="4102F4F6" w14:textId="3BAB198B" w:rsidR="00C149D8" w:rsidRPr="00246F49" w:rsidRDefault="00A90054" w:rsidP="00246F49">
            <w:pPr>
              <w:rPr>
                <w:rFonts w:asciiTheme="majorHAnsi" w:hAnsiTheme="majorHAnsi" w:cstheme="majorHAnsi"/>
                <w:sz w:val="20"/>
                <w:szCs w:val="20"/>
              </w:rPr>
            </w:pPr>
            <w:r w:rsidRPr="00246F49">
              <w:rPr>
                <w:rFonts w:asciiTheme="majorHAnsi" w:hAnsiTheme="majorHAnsi" w:cstheme="majorHAnsi"/>
                <w:sz w:val="20"/>
                <w:szCs w:val="20"/>
              </w:rPr>
              <w:t xml:space="preserve">Los días serán </w:t>
            </w:r>
            <w:r w:rsidR="00C149D8" w:rsidRPr="00246F49">
              <w:rPr>
                <w:rFonts w:asciiTheme="majorHAnsi" w:hAnsiTheme="majorHAnsi" w:cstheme="majorHAnsi"/>
                <w:sz w:val="20"/>
                <w:szCs w:val="20"/>
              </w:rPr>
              <w:t xml:space="preserve">contabilizados a partir, del día siguiente de la notificación de la orden de </w:t>
            </w:r>
            <w:r w:rsidR="003B5EB0" w:rsidRPr="00246F49">
              <w:rPr>
                <w:rFonts w:asciiTheme="majorHAnsi" w:hAnsiTheme="majorHAnsi" w:cstheme="majorHAnsi"/>
                <w:sz w:val="20"/>
                <w:szCs w:val="20"/>
              </w:rPr>
              <w:t>compra.</w:t>
            </w:r>
          </w:p>
          <w:p w14:paraId="297C67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149D8"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149D8"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149D8"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246F49" w14:paraId="381045F2" w14:textId="77777777" w:rsidTr="00FD0252">
              <w:trPr>
                <w:cantSplit/>
                <w:jc w:val="center"/>
              </w:trPr>
              <w:tc>
                <w:tcPr>
                  <w:tcW w:w="2184" w:type="dxa"/>
                  <w:vMerge w:val="restart"/>
                  <w:vAlign w:val="center"/>
                </w:tcPr>
                <w:p w14:paraId="2CF2AE7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149D8" w:rsidRPr="00246F49" w14:paraId="0676BAD7" w14:textId="77777777" w:rsidTr="00FD0252">
              <w:trPr>
                <w:cantSplit/>
                <w:jc w:val="center"/>
              </w:trPr>
              <w:tc>
                <w:tcPr>
                  <w:tcW w:w="2184" w:type="dxa"/>
                  <w:vMerge/>
                  <w:vAlign w:val="center"/>
                </w:tcPr>
                <w:p w14:paraId="63581679" w14:textId="77777777" w:rsidR="00C149D8" w:rsidRPr="00246F49" w:rsidRDefault="00C149D8" w:rsidP="00246F49">
                  <w:pPr>
                    <w:rPr>
                      <w:rFonts w:asciiTheme="majorHAnsi" w:hAnsiTheme="majorHAnsi" w:cstheme="majorHAnsi"/>
                      <w:sz w:val="20"/>
                      <w:szCs w:val="20"/>
                    </w:rPr>
                  </w:pPr>
                </w:p>
              </w:tc>
              <w:tc>
                <w:tcPr>
                  <w:tcW w:w="2977" w:type="dxa"/>
                  <w:vAlign w:val="center"/>
                </w:tcPr>
                <w:p w14:paraId="45631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C149D8" w:rsidRPr="00246F49" w:rsidRDefault="00C149D8" w:rsidP="00246F49">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50CB" w14:textId="77777777" w:rsidR="001E2E9A" w:rsidRDefault="001E2E9A" w:rsidP="008C6921">
      <w:pPr>
        <w:spacing w:after="0" w:line="240" w:lineRule="auto"/>
      </w:pPr>
      <w:r>
        <w:separator/>
      </w:r>
    </w:p>
  </w:endnote>
  <w:endnote w:type="continuationSeparator" w:id="0">
    <w:p w14:paraId="73E55DCA" w14:textId="77777777" w:rsidR="001E2E9A" w:rsidRDefault="001E2E9A"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5E92" w14:textId="77777777" w:rsidR="001E2E9A" w:rsidRDefault="001E2E9A" w:rsidP="008C6921">
      <w:pPr>
        <w:spacing w:after="0" w:line="240" w:lineRule="auto"/>
      </w:pPr>
      <w:r>
        <w:separator/>
      </w:r>
    </w:p>
  </w:footnote>
  <w:footnote w:type="continuationSeparator" w:id="0">
    <w:p w14:paraId="00650654" w14:textId="77777777" w:rsidR="001E2E9A" w:rsidRDefault="001E2E9A"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640F72"/>
    <w:rsid w:val="00670048"/>
    <w:rsid w:val="0067266E"/>
    <w:rsid w:val="00694911"/>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C07078"/>
    <w:rsid w:val="00C149D8"/>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2227</Words>
  <Characters>12253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19</cp:revision>
  <cp:lastPrinted>2024-01-09T20:58:00Z</cp:lastPrinted>
  <dcterms:created xsi:type="dcterms:W3CDTF">2024-01-23T15:18:00Z</dcterms:created>
  <dcterms:modified xsi:type="dcterms:W3CDTF">2024-03-04T15:54:00Z</dcterms:modified>
</cp:coreProperties>
</file>