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2AE38D85"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36008C">
        <w:rPr>
          <w:rFonts w:asciiTheme="minorHAnsi" w:hAnsiTheme="minorHAnsi" w:cstheme="minorBidi"/>
          <w:iCs/>
          <w:color w:val="auto"/>
        </w:rPr>
        <w:t xml:space="preserve">switch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858AD6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5D5B08">
        <w:rPr>
          <w:rFonts w:asciiTheme="minorHAnsi" w:hAnsiTheme="minorHAnsi" w:cstheme="minorBidi"/>
          <w:iCs/>
          <w:color w:val="auto"/>
        </w:rPr>
        <w:t xml:space="preserve">de switch </w:t>
      </w:r>
      <w:r>
        <w:rPr>
          <w:rFonts w:asciiTheme="minorHAnsi" w:hAnsiTheme="minorHAnsi" w:cstheme="minorBidi"/>
          <w:iCs/>
          <w:color w:val="auto"/>
        </w:rPr>
        <w:t>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BF72D4">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0F5BEC63"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36008C">
              <w:rPr>
                <w:rFonts w:asciiTheme="majorHAnsi" w:hAnsiTheme="majorHAnsi" w:cstheme="majorHAnsi"/>
                <w:sz w:val="20"/>
                <w:szCs w:val="20"/>
              </w:rPr>
              <w:t>SWITCH</w:t>
            </w:r>
            <w:r w:rsidR="0036008C" w:rsidRPr="00246F49">
              <w:rPr>
                <w:rFonts w:asciiTheme="majorHAnsi" w:hAnsiTheme="majorHAnsi" w:cstheme="majorHAnsi"/>
                <w:sz w:val="20"/>
                <w:szCs w:val="20"/>
              </w:rPr>
              <w:t xml:space="preserve"> </w:t>
            </w:r>
            <w:r w:rsidRPr="00246F49">
              <w:rPr>
                <w:rFonts w:asciiTheme="majorHAnsi" w:hAnsiTheme="majorHAnsi" w:cstheme="majorHAnsi"/>
                <w:sz w:val="20"/>
                <w:szCs w:val="20"/>
              </w:rPr>
              <w:t>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2FD114A1" w14:textId="74E2CDA2" w:rsidR="00547224" w:rsidRPr="00707162" w:rsidRDefault="00202F3C" w:rsidP="0000660E">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p w14:paraId="355A6700" w14:textId="74BE5961" w:rsidR="0067266E" w:rsidRPr="00246F49" w:rsidRDefault="0067266E"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r w:rsidR="00547224" w:rsidRPr="00246F49"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707162" w:rsidRDefault="00E41F24" w:rsidP="0000660E">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Transceiver 10</w:t>
                  </w:r>
                  <w:r w:rsidR="00EC7C3C" w:rsidRPr="00707162">
                    <w:rPr>
                      <w:rFonts w:asciiTheme="majorHAnsi" w:hAnsiTheme="majorHAnsi" w:cstheme="majorHAnsi"/>
                      <w:sz w:val="18"/>
                      <w:szCs w:val="18"/>
                      <w:lang w:val="en-US"/>
                    </w:rPr>
                    <w:t>0</w:t>
                  </w:r>
                  <w:r w:rsidRPr="00707162">
                    <w:rPr>
                      <w:rFonts w:asciiTheme="majorHAnsi" w:hAnsiTheme="majorHAnsi" w:cstheme="majorHAnsi"/>
                      <w:sz w:val="18"/>
                      <w:szCs w:val="18"/>
                      <w:lang w:val="en-US"/>
                    </w:rPr>
                    <w:t>G LC/LC</w:t>
                  </w:r>
                </w:p>
                <w:p w14:paraId="7D5733D6" w14:textId="2DD43DA5" w:rsidR="0067266E" w:rsidRPr="00707162" w:rsidRDefault="0067266E" w:rsidP="0000660E">
                  <w:pPr>
                    <w:spacing w:line="240" w:lineRule="auto"/>
                    <w:contextualSpacing/>
                    <w:rPr>
                      <w:rFonts w:asciiTheme="majorHAnsi" w:hAnsiTheme="majorHAnsi" w:cstheme="majorHAnsi"/>
                      <w:sz w:val="18"/>
                      <w:szCs w:val="18"/>
                      <w:lang w:val="en-US"/>
                    </w:rPr>
                  </w:pPr>
                  <w:proofErr w:type="spellStart"/>
                  <w:r w:rsidRPr="00707162">
                    <w:rPr>
                      <w:rFonts w:asciiTheme="majorHAnsi" w:hAnsiTheme="majorHAnsi" w:cstheme="majorHAnsi"/>
                      <w:b/>
                      <w:bCs/>
                      <w:sz w:val="18"/>
                      <w:szCs w:val="18"/>
                      <w:lang w:val="en-US"/>
                    </w:rPr>
                    <w:t>Ítem</w:t>
                  </w:r>
                  <w:proofErr w:type="spellEnd"/>
                  <w:r w:rsidRPr="00707162">
                    <w:rPr>
                      <w:rFonts w:asciiTheme="majorHAnsi" w:hAnsiTheme="majorHAnsi" w:cstheme="majorHAnsi"/>
                      <w:b/>
                      <w:bCs/>
                      <w:sz w:val="18"/>
                      <w:szCs w:val="18"/>
                      <w:lang w:val="en-US"/>
                    </w:rPr>
                    <w:t xml:space="preserve"> </w:t>
                  </w:r>
                  <w:r w:rsidR="00246F49" w:rsidRPr="00707162">
                    <w:rPr>
                      <w:rFonts w:asciiTheme="majorHAnsi" w:hAnsiTheme="majorHAnsi" w:cstheme="majorHAnsi"/>
                      <w:b/>
                      <w:bCs/>
                      <w:sz w:val="18"/>
                      <w:szCs w:val="18"/>
                      <w:lang w:val="en-US"/>
                    </w:rPr>
                    <w:t>SIGA:</w:t>
                  </w:r>
                  <w:r w:rsidRPr="00707162">
                    <w:rPr>
                      <w:rFonts w:asciiTheme="majorHAnsi" w:hAnsiTheme="majorHAnsi" w:cstheme="majorHAnsi"/>
                      <w:sz w:val="18"/>
                      <w:szCs w:val="18"/>
                      <w:lang w:val="en-US"/>
                    </w:rPr>
                    <w:t xml:space="preserve"> </w:t>
                  </w:r>
                  <w:r w:rsidR="004B4111" w:rsidRPr="00707162">
                    <w:rPr>
                      <w:rFonts w:asciiTheme="majorHAnsi" w:hAnsiTheme="majorHAnsi" w:cstheme="majorHAnsi"/>
                      <w:sz w:val="18"/>
                      <w:szCs w:val="18"/>
                      <w:lang w:val="en-US" w:eastAsia="es-PE"/>
                    </w:rPr>
                    <w:t>767500610008</w:t>
                  </w:r>
                  <w:r w:rsidR="004B4111" w:rsidRPr="00707162">
                    <w:rPr>
                      <w:rFonts w:asciiTheme="majorHAnsi" w:hAnsiTheme="majorHAnsi" w:cstheme="majorHAnsi"/>
                      <w:sz w:val="18"/>
                      <w:szCs w:val="18"/>
                      <w:lang w:val="en-US" w:eastAsia="es-PE"/>
                    </w:rPr>
                    <w:tab/>
                  </w:r>
                  <w:proofErr w:type="gramStart"/>
                  <w:r w:rsidR="004B4111" w:rsidRPr="00707162">
                    <w:rPr>
                      <w:rFonts w:asciiTheme="majorHAnsi" w:hAnsiTheme="majorHAnsi" w:cstheme="majorHAnsi"/>
                      <w:sz w:val="18"/>
                      <w:szCs w:val="18"/>
                      <w:lang w:val="en-US" w:eastAsia="es-PE"/>
                    </w:rPr>
                    <w:t>TRANSCEIVER</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16</w:t>
                  </w:r>
                </w:p>
              </w:tc>
            </w:tr>
            <w:tr w:rsidR="00217A3B" w:rsidRPr="00246F49" w14:paraId="30777842"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B90D464" w14:textId="724D4E8B"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7C3BF32" w14:textId="77777777" w:rsidR="00217A3B" w:rsidRDefault="00217A3B" w:rsidP="0000660E">
                  <w:pPr>
                    <w:spacing w:line="240" w:lineRule="auto"/>
                    <w:contextualSpacing/>
                    <w:rPr>
                      <w:rFonts w:asciiTheme="majorHAnsi" w:hAnsiTheme="majorHAnsi" w:cstheme="majorHAnsi"/>
                      <w:sz w:val="18"/>
                      <w:szCs w:val="18"/>
                    </w:rPr>
                  </w:pPr>
                  <w:r w:rsidRPr="00217A3B">
                    <w:rPr>
                      <w:rFonts w:asciiTheme="majorHAnsi" w:hAnsiTheme="majorHAnsi" w:cstheme="majorHAnsi"/>
                      <w:sz w:val="18"/>
                      <w:szCs w:val="18"/>
                    </w:rPr>
                    <w:t>INYECTOR POE 24 PUERTOS</w:t>
                  </w:r>
                </w:p>
                <w:p w14:paraId="2E30E303" w14:textId="34A52C3D" w:rsidR="004B4111" w:rsidRPr="00246F49" w:rsidRDefault="004B4111"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Pr>
                      <w:rFonts w:asciiTheme="majorHAnsi" w:hAnsiTheme="majorHAnsi" w:cstheme="majorHAnsi"/>
                      <w:sz w:val="18"/>
                      <w:szCs w:val="18"/>
                    </w:rPr>
                    <w:t xml:space="preserve">: </w:t>
                  </w:r>
                  <w:r w:rsidR="00707162" w:rsidRPr="00707162">
                    <w:rPr>
                      <w:rFonts w:asciiTheme="majorHAnsi" w:hAnsiTheme="majorHAnsi" w:cstheme="majorHAnsi"/>
                      <w:sz w:val="18"/>
                      <w:szCs w:val="18"/>
                    </w:rPr>
                    <w:t>952281170083</w:t>
                  </w:r>
                  <w:r w:rsidR="00707162" w:rsidRPr="00707162">
                    <w:rPr>
                      <w:rFonts w:asciiTheme="majorHAnsi" w:hAnsiTheme="majorHAnsi" w:cstheme="majorHAnsi"/>
                      <w:sz w:val="18"/>
                      <w:szCs w:val="18"/>
                    </w:rPr>
                    <w:tab/>
                  </w:r>
                  <w:r w:rsidRPr="004B4111">
                    <w:rPr>
                      <w:rFonts w:asciiTheme="majorHAnsi" w:hAnsiTheme="majorHAnsi" w:cstheme="majorHAnsi"/>
                      <w:sz w:val="18"/>
                      <w:szCs w:val="18"/>
                    </w:rPr>
                    <w:t xml:space="preserve">SWITCH PARA RED DE </w:t>
                  </w:r>
                  <w:r w:rsidR="00707162">
                    <w:rPr>
                      <w:rFonts w:asciiTheme="majorHAnsi" w:hAnsiTheme="majorHAnsi" w:cstheme="majorHAnsi"/>
                      <w:sz w:val="18"/>
                      <w:szCs w:val="18"/>
                    </w:rPr>
                    <w:t>48 SLOT</w:t>
                  </w:r>
                </w:p>
              </w:tc>
              <w:tc>
                <w:tcPr>
                  <w:tcW w:w="685" w:type="dxa"/>
                  <w:tcBorders>
                    <w:top w:val="single" w:sz="4" w:space="0" w:color="auto"/>
                    <w:left w:val="nil"/>
                    <w:bottom w:val="single" w:sz="4" w:space="0" w:color="auto"/>
                    <w:right w:val="single" w:sz="4" w:space="0" w:color="auto"/>
                  </w:tcBorders>
                  <w:shd w:val="clear" w:color="auto" w:fill="auto"/>
                  <w:vAlign w:val="center"/>
                </w:tcPr>
                <w:p w14:paraId="2481A61C" w14:textId="397DF3DE"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CCE469B" w14:textId="3001524F"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5519B3" w:rsidRPr="00246F49" w14:paraId="36B93C63"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3BF7A515" w:rsidR="005519B3" w:rsidRPr="00707162" w:rsidRDefault="00202F3C" w:rsidP="00246F49">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08</w:t>
            </w:r>
            <w:r w:rsidR="00EB1574" w:rsidRPr="00246F49">
              <w:rPr>
                <w:rFonts w:asciiTheme="majorHAnsi" w:hAnsiTheme="majorHAnsi" w:cstheme="majorHAnsi"/>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246F49" w:rsidRDefault="002E6819"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C89E8D1" w14:textId="77777777" w:rsidR="00246F49"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645D1486" w14:textId="6EDC8291"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61E93BC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4BA859F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148FB2B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67C8F957"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412620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Búfer de paquete: 32 MB</w:t>
            </w:r>
          </w:p>
          <w:p w14:paraId="7047CE8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0DCB1A6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43C01FDB"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C92F0D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6C2F6C7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7260AF59" w14:textId="77777777" w:rsidR="00202F3C" w:rsidRPr="00246F49" w:rsidRDefault="00202F3C"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0233EA70"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1CB57CF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7987E4F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6D69169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7394F77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34E6BB9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2B7799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23C007EC"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18FCA47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F3DC711"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700A913E"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6072EEF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4461B86"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1FB9D1FB" w14:textId="009ABA73"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Disipación del calor 1706 BTU/h</w:t>
            </w:r>
          </w:p>
        </w:tc>
      </w:tr>
      <w:tr w:rsidR="0034790A" w:rsidRPr="00246F49" w14:paraId="310E4E65"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8D84935" w:rsidR="0034790A" w:rsidRPr="00246F49" w:rsidRDefault="00882E6B"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w:t>
            </w:r>
            <w:r w:rsidR="00EC7C3C" w:rsidRPr="00246F49">
              <w:rPr>
                <w:rFonts w:asciiTheme="majorHAnsi" w:hAnsiTheme="majorHAnsi" w:cstheme="majorHAnsi"/>
                <w:sz w:val="18"/>
                <w:szCs w:val="18"/>
              </w:rPr>
              <w:t>0</w:t>
            </w:r>
            <w:r w:rsidRPr="00246F49">
              <w:rPr>
                <w:rFonts w:asciiTheme="majorHAnsi" w:hAnsiTheme="majorHAnsi" w:cstheme="majorHAnsi"/>
                <w:sz w:val="18"/>
                <w:szCs w:val="18"/>
              </w:rPr>
              <w:t>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470476EB" w:rsidR="0034790A"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D9B4E3" w14:textId="5993CD24" w:rsidR="0034790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2B748B3C" w14:textId="4343F76E" w:rsidR="004F215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debe de ser compatible con el switch del </w:t>
            </w:r>
            <w:proofErr w:type="spellStart"/>
            <w:r w:rsidRPr="00246F49">
              <w:rPr>
                <w:rFonts w:asciiTheme="majorHAnsi" w:hAnsiTheme="majorHAnsi" w:cstheme="majorHAnsi"/>
                <w:sz w:val="18"/>
                <w:szCs w:val="18"/>
              </w:rPr>
              <w:t>item</w:t>
            </w:r>
            <w:proofErr w:type="spellEnd"/>
            <w:r w:rsidRPr="00246F49">
              <w:rPr>
                <w:rFonts w:asciiTheme="majorHAnsi" w:hAnsiTheme="majorHAnsi" w:cstheme="majorHAnsi"/>
                <w:sz w:val="18"/>
                <w:szCs w:val="18"/>
              </w:rPr>
              <w:t xml:space="preserve"> 1</w:t>
            </w:r>
          </w:p>
        </w:tc>
      </w:tr>
      <w:tr w:rsidR="004B4111" w:rsidRPr="00246F49" w14:paraId="69FADCBB"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FD3BA" w14:textId="1BC1D719"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05A4B5B" w14:textId="35C2C145" w:rsidR="004B4111" w:rsidRPr="00246F49" w:rsidRDefault="004B4111" w:rsidP="004B4111">
            <w:pPr>
              <w:rPr>
                <w:rFonts w:asciiTheme="majorHAnsi" w:hAnsiTheme="majorHAnsi" w:cstheme="majorHAnsi"/>
                <w:sz w:val="18"/>
                <w:szCs w:val="18"/>
              </w:rPr>
            </w:pPr>
            <w:r w:rsidRPr="00217A3B">
              <w:rPr>
                <w:rFonts w:asciiTheme="majorHAnsi" w:hAnsiTheme="majorHAnsi" w:cstheme="majorHAnsi"/>
                <w:sz w:val="18"/>
                <w:szCs w:val="18"/>
              </w:rPr>
              <w:t>INYECTOR POE 24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09B228" w14:textId="0B7D4E82"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04890B" w14:textId="4C8A2523"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9A3FCD0"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Inyector Gigabit Ethernet de 24 puertos</w:t>
            </w:r>
          </w:p>
          <w:p w14:paraId="7B6B19A7" w14:textId="1954AAB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w:t>
            </w:r>
            <w:proofErr w:type="gramStart"/>
            <w:r w:rsidRPr="004B4111">
              <w:rPr>
                <w:rFonts w:asciiTheme="majorHAnsi" w:hAnsiTheme="majorHAnsi" w:cstheme="majorHAnsi"/>
                <w:sz w:val="18"/>
                <w:szCs w:val="18"/>
              </w:rPr>
              <w:t>Blindados</w:t>
            </w:r>
            <w:proofErr w:type="gramEnd"/>
            <w:r w:rsidRPr="004B4111">
              <w:rPr>
                <w:rFonts w:asciiTheme="majorHAnsi" w:hAnsiTheme="majorHAnsi" w:cstheme="majorHAnsi"/>
                <w:sz w:val="18"/>
                <w:szCs w:val="18"/>
              </w:rPr>
              <w:t xml:space="preserve"> por LAN DE LA RJ-45</w:t>
            </w:r>
          </w:p>
          <w:p w14:paraId="56C41C79" w14:textId="6026A6F1"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Blindados, LAN y </w:t>
            </w:r>
            <w:proofErr w:type="gramStart"/>
            <w:r w:rsidRPr="004B4111">
              <w:rPr>
                <w:rFonts w:asciiTheme="majorHAnsi" w:hAnsiTheme="majorHAnsi" w:cstheme="majorHAnsi"/>
                <w:sz w:val="18"/>
                <w:szCs w:val="18"/>
              </w:rPr>
              <w:t>POE,-</w:t>
            </w:r>
            <w:proofErr w:type="gramEnd"/>
            <w:r w:rsidRPr="004B4111">
              <w:rPr>
                <w:rFonts w:asciiTheme="majorHAnsi" w:hAnsiTheme="majorHAnsi" w:cstheme="majorHAnsi"/>
                <w:sz w:val="18"/>
                <w:szCs w:val="18"/>
              </w:rPr>
              <w:t>2. 0-1.</w:t>
            </w:r>
          </w:p>
          <w:p w14:paraId="3C8521A7" w14:textId="45DF51AE"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Los 4 pares de datos activos para velocidades de datos Gigabit</w:t>
            </w:r>
          </w:p>
          <w:p w14:paraId="5A68D962" w14:textId="234D49CB"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Datos y energía compartidos a través de transformador aislado</w:t>
            </w:r>
          </w:p>
          <w:p w14:paraId="03687D04"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Inyección de potencia en pares de modo B</w:t>
            </w:r>
          </w:p>
          <w:p w14:paraId="5A90B1F5" w14:textId="6714B275"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Entradas de fuente de alimentación duales de hasta 150 vatios cada una</w:t>
            </w:r>
          </w:p>
          <w:p w14:paraId="15801E81" w14:textId="200F17CF"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Equilibrio de carga por relé para baja pérdida y alta confiabilidad</w:t>
            </w:r>
          </w:p>
          <w:p w14:paraId="6F1F0171" w14:textId="7E1129DA"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Montaje en rack 1U de alto estándar (1,75x19x2 pulgadas)</w:t>
            </w:r>
          </w:p>
          <w:p w14:paraId="1387504D" w14:textId="737F7F3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Fusible reiniciable automático de 1000 mA en cada puerto</w:t>
            </w:r>
          </w:p>
          <w:p w14:paraId="49206460" w14:textId="7D41287D"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La energía se comparte según sea necesario por los dispositivos</w:t>
            </w:r>
          </w:p>
          <w:p w14:paraId="7AB79EDF" w14:textId="47BB41D0"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Uso con cualquier conmutador Ethernet: pasa toda la información de gestión de forma transparente</w:t>
            </w:r>
          </w:p>
          <w:p w14:paraId="7156D5B5" w14:textId="15537EA4"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4 indicadores LED de estado- - 1 LED VERDE de potencia principal</w:t>
            </w:r>
          </w:p>
          <w:p w14:paraId="470A1CAC" w14:textId="3F2E1AD7" w:rsidR="004B4111" w:rsidRPr="00246F49"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Para cada grupo de 4 enchufes POE:</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 puesto en obra, en el almacén de la entidad.</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05C2445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 </w:t>
            </w:r>
          </w:p>
        </w:tc>
      </w:tr>
      <w:tr w:rsidR="00707162" w:rsidRPr="00246F49" w14:paraId="33611731"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tcPr>
          <w:p w14:paraId="67719B8B" w14:textId="32E74D2F"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4.</w:t>
            </w:r>
            <w:r>
              <w:rPr>
                <w:rFonts w:asciiTheme="majorHAnsi" w:hAnsiTheme="majorHAnsi" w:cstheme="majorHAnsi"/>
                <w:sz w:val="20"/>
                <w:szCs w:val="20"/>
              </w:rPr>
              <w:t>4</w:t>
            </w:r>
            <w:r w:rsidRPr="00246F49">
              <w:rPr>
                <w:rFonts w:asciiTheme="majorHAnsi" w:hAnsiTheme="majorHAnsi" w:cstheme="majorHAnsi"/>
                <w:sz w:val="20"/>
                <w:szCs w:val="20"/>
              </w:rPr>
              <w:t xml:space="preserve">. </w:t>
            </w:r>
            <w:r>
              <w:rPr>
                <w:rFonts w:asciiTheme="majorHAnsi" w:hAnsiTheme="majorHAnsi" w:cstheme="majorHAnsi"/>
                <w:sz w:val="20"/>
                <w:szCs w:val="20"/>
              </w:rPr>
              <w:t>TIPO DE CONTRATACION</w:t>
            </w:r>
          </w:p>
        </w:tc>
        <w:tc>
          <w:tcPr>
            <w:tcW w:w="8151" w:type="dxa"/>
            <w:gridSpan w:val="3"/>
            <w:tcBorders>
              <w:top w:val="nil"/>
              <w:left w:val="nil"/>
              <w:bottom w:val="single" w:sz="4" w:space="0" w:color="auto"/>
              <w:right w:val="single" w:sz="4" w:space="0" w:color="auto"/>
            </w:tcBorders>
            <w:shd w:val="clear" w:color="auto" w:fill="auto"/>
            <w:noWrap/>
            <w:vAlign w:val="bottom"/>
          </w:tcPr>
          <w:p w14:paraId="0C69013C" w14:textId="4ED07130" w:rsidR="00707162" w:rsidRPr="00246F49" w:rsidRDefault="00707162" w:rsidP="00707162">
            <w:pPr>
              <w:rPr>
                <w:rFonts w:asciiTheme="majorHAnsi" w:hAnsiTheme="majorHAnsi" w:cstheme="majorHAnsi"/>
                <w:sz w:val="20"/>
                <w:szCs w:val="20"/>
              </w:rPr>
            </w:pPr>
            <w:r>
              <w:rPr>
                <w:rFonts w:asciiTheme="majorHAnsi" w:hAnsiTheme="majorHAnsi" w:cstheme="majorHAnsi"/>
                <w:sz w:val="20"/>
                <w:szCs w:val="20"/>
              </w:rPr>
              <w:t xml:space="preserve">SUMA ALZADA </w:t>
            </w:r>
          </w:p>
        </w:tc>
      </w:tr>
      <w:tr w:rsidR="00707162"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lastRenderedPageBreak/>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7A57248E"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707162"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Lugar: Obra “MEJORAMIENTO DE LA GESTIÓN MUNICIPAL Y SERVICIO ADMINISTRATIVO DE LA MUNICIPALIDAD PROVINCIAL DE ABANCAY, DISTRITO DE ABANCAY - PROVINCIA DE ABANCAY - DEPARTAMENTO DE APURÍMAC”.</w:t>
            </w:r>
          </w:p>
          <w:p w14:paraId="5065A5CF" w14:textId="0670D798"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p>
          <w:p w14:paraId="4102F4F6" w14:textId="3BAB198B"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Los días serán contabilizados a partir, del día siguiente de la notificación de la orden de compra.</w:t>
            </w:r>
          </w:p>
          <w:p w14:paraId="297C6759"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707162"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El proveedor asumirá todos los gastos referidos al traslado de materiales hasta el almacén de la obra.</w:t>
            </w:r>
          </w:p>
          <w:p w14:paraId="327561BF"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707162"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707162"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707162"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707162" w:rsidRPr="00246F49" w14:paraId="381045F2" w14:textId="77777777" w:rsidTr="00FD0252">
              <w:trPr>
                <w:cantSplit/>
                <w:jc w:val="center"/>
              </w:trPr>
              <w:tc>
                <w:tcPr>
                  <w:tcW w:w="2184" w:type="dxa"/>
                  <w:vMerge w:val="restart"/>
                  <w:vAlign w:val="center"/>
                </w:tcPr>
                <w:p w14:paraId="2CF2AE74"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707162" w:rsidRPr="00246F49" w14:paraId="0676BAD7" w14:textId="77777777" w:rsidTr="00FD0252">
              <w:trPr>
                <w:cantSplit/>
                <w:jc w:val="center"/>
              </w:trPr>
              <w:tc>
                <w:tcPr>
                  <w:tcW w:w="2184" w:type="dxa"/>
                  <w:vMerge/>
                  <w:vAlign w:val="center"/>
                </w:tcPr>
                <w:p w14:paraId="63581679" w14:textId="77777777" w:rsidR="00707162" w:rsidRPr="00246F49" w:rsidRDefault="00707162" w:rsidP="00707162">
                  <w:pPr>
                    <w:rPr>
                      <w:rFonts w:asciiTheme="majorHAnsi" w:hAnsiTheme="majorHAnsi" w:cstheme="majorHAnsi"/>
                      <w:sz w:val="20"/>
                      <w:szCs w:val="20"/>
                    </w:rPr>
                  </w:pPr>
                </w:p>
              </w:tc>
              <w:tc>
                <w:tcPr>
                  <w:tcW w:w="2977" w:type="dxa"/>
                  <w:vAlign w:val="center"/>
                </w:tcPr>
                <w:p w14:paraId="45631DB0"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Donde:</w:t>
            </w:r>
          </w:p>
          <w:p w14:paraId="23318DB6"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lastRenderedPageBreak/>
              <w:t>F = 0.40 para plazos menores o iguales a sesenta (60) días.</w:t>
            </w:r>
          </w:p>
          <w:p w14:paraId="556E370C" w14:textId="77777777" w:rsidR="00707162" w:rsidRPr="00246F49" w:rsidRDefault="00707162" w:rsidP="00707162">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w:t>
            </w:r>
            <w:proofErr w:type="spellStart"/>
            <w:r w:rsidR="003B5EB0">
              <w:rPr>
                <w:rFonts w:ascii="Arial Narrow" w:hAnsi="Arial Narrow" w:cs="Arial"/>
                <w:iCs/>
                <w:sz w:val="24"/>
                <w:szCs w:val="24"/>
                <w:vertAlign w:val="subscript"/>
                <w:lang w:eastAsia="es-ES"/>
              </w:rPr>
              <w:t>o</w:t>
            </w:r>
            <w:proofErr w:type="spellEnd"/>
            <w:r w:rsidR="003B5EB0">
              <w:rPr>
                <w:rFonts w:ascii="Arial Narrow" w:hAnsi="Arial Narrow" w:cs="Arial"/>
                <w:iCs/>
                <w:sz w:val="24"/>
                <w:szCs w:val="24"/>
                <w:vertAlign w:val="subscript"/>
                <w:lang w:eastAsia="es-ES"/>
              </w:rPr>
              <w:t xml:space="preserve">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w:t>
            </w:r>
            <w:r w:rsidRPr="009220EF">
              <w:rPr>
                <w:rFonts w:ascii="Arial Narrow" w:hAnsi="Arial Narrow" w:cs="Arial"/>
                <w:sz w:val="24"/>
                <w:szCs w:val="24"/>
                <w:vertAlign w:val="subscript"/>
                <w:lang w:val="es-ES" w:eastAsia="ja-JP"/>
              </w:rPr>
              <w:lastRenderedPageBreak/>
              <w:t xml:space="preserve">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8976" w14:textId="77777777" w:rsidR="00BF72D4" w:rsidRDefault="00BF72D4" w:rsidP="008C6921">
      <w:pPr>
        <w:spacing w:after="0" w:line="240" w:lineRule="auto"/>
      </w:pPr>
      <w:r>
        <w:separator/>
      </w:r>
    </w:p>
  </w:endnote>
  <w:endnote w:type="continuationSeparator" w:id="0">
    <w:p w14:paraId="1BFC4173" w14:textId="77777777" w:rsidR="00BF72D4" w:rsidRDefault="00BF72D4"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FF89" w14:textId="77777777" w:rsidR="00BF72D4" w:rsidRDefault="00BF72D4" w:rsidP="008C6921">
      <w:pPr>
        <w:spacing w:after="0" w:line="240" w:lineRule="auto"/>
      </w:pPr>
      <w:r>
        <w:separator/>
      </w:r>
    </w:p>
  </w:footnote>
  <w:footnote w:type="continuationSeparator" w:id="0">
    <w:p w14:paraId="0B2AF547" w14:textId="77777777" w:rsidR="00BF72D4" w:rsidRDefault="00BF72D4"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008C"/>
    <w:rsid w:val="00366035"/>
    <w:rsid w:val="0038492E"/>
    <w:rsid w:val="00386855"/>
    <w:rsid w:val="00387CB1"/>
    <w:rsid w:val="003B4128"/>
    <w:rsid w:val="003B5EB0"/>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5D5B08"/>
    <w:rsid w:val="00640F72"/>
    <w:rsid w:val="00670048"/>
    <w:rsid w:val="0067266E"/>
    <w:rsid w:val="00694911"/>
    <w:rsid w:val="00707162"/>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4291D"/>
    <w:rsid w:val="00BA48AA"/>
    <w:rsid w:val="00BF72D4"/>
    <w:rsid w:val="00C07078"/>
    <w:rsid w:val="00C149D8"/>
    <w:rsid w:val="00CC32D9"/>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2232</Words>
  <Characters>12277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21</cp:revision>
  <cp:lastPrinted>2024-01-09T20:58:00Z</cp:lastPrinted>
  <dcterms:created xsi:type="dcterms:W3CDTF">2024-01-23T15:18:00Z</dcterms:created>
  <dcterms:modified xsi:type="dcterms:W3CDTF">2024-03-21T22:11:00Z</dcterms:modified>
</cp:coreProperties>
</file>