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0EB60F3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B1DD4">
        <w:rPr>
          <w:rFonts w:ascii="Arial" w:hAnsi="Arial" w:cs="Arial"/>
          <w:color w:val="202124"/>
          <w:shd w:val="clear" w:color="auto" w:fill="FFFFFF"/>
        </w:rPr>
        <w:t>transceiver</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E02CB0E"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2B1DD4">
        <w:rPr>
          <w:rFonts w:ascii="Arial" w:hAnsi="Arial" w:cs="Arial"/>
          <w:color w:val="202124"/>
          <w:shd w:val="clear" w:color="auto" w:fill="FFFFFF"/>
        </w:rPr>
        <w:t>transceiver</w:t>
      </w:r>
      <w:r w:rsidR="002B1DD4">
        <w:rPr>
          <w:rFonts w:ascii="Arial" w:hAnsi="Arial" w:cs="Arial"/>
          <w:color w:val="202124"/>
          <w:shd w:val="clear" w:color="auto" w:fill="FFFFFF"/>
        </w:rPr>
        <w:t xml:space="preserve"> </w:t>
      </w:r>
      <w:r>
        <w:rPr>
          <w:rFonts w:asciiTheme="minorHAnsi" w:hAnsiTheme="minorHAnsi" w:cstheme="minorBidi"/>
          <w:iCs/>
          <w:color w:val="auto"/>
        </w:rPr>
        <w:t>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921561">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Anexo N°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223DD1ED"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B1DD4">
              <w:rPr>
                <w:rFonts w:ascii="Arial" w:hAnsi="Arial" w:cs="Arial"/>
                <w:color w:val="202124"/>
                <w:shd w:val="clear" w:color="auto" w:fill="FFFFFF"/>
              </w:rPr>
              <w:t>transceiver</w:t>
            </w:r>
            <w:r w:rsidR="002B1DD4">
              <w:rPr>
                <w:rFonts w:ascii="Arial" w:hAnsi="Arial" w:cs="Arial"/>
                <w:color w:val="202124"/>
                <w:shd w:val="clear" w:color="auto" w:fill="FFFFFF"/>
              </w:rPr>
              <w:t xml:space="preserve"> </w:t>
            </w:r>
            <w:r w:rsidRPr="00246F49">
              <w:rPr>
                <w:rFonts w:asciiTheme="majorHAnsi" w:hAnsiTheme="majorHAnsi" w:cstheme="majorHAnsi"/>
                <w:sz w:val="20"/>
                <w:szCs w:val="20"/>
              </w:rPr>
              <w:t>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33D3763"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B1DD4">
              <w:rPr>
                <w:rFonts w:ascii="Arial" w:hAnsi="Arial" w:cs="Arial"/>
                <w:color w:val="202124"/>
                <w:shd w:val="clear" w:color="auto" w:fill="FFFFFF"/>
              </w:rPr>
              <w:t>transceiver</w:t>
            </w:r>
            <w:r w:rsidR="002B1DD4">
              <w:rPr>
                <w:rFonts w:ascii="Arial" w:hAnsi="Arial" w:cs="Arial"/>
                <w:color w:val="202124"/>
                <w:shd w:val="clear" w:color="auto" w:fill="FFFFFF"/>
              </w:rPr>
              <w:t xml:space="preserve">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435637B4" w:rsidR="00547224" w:rsidRPr="00246F49" w:rsidRDefault="00BB2605"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2B1DD4" w:rsidRDefault="00E41F24" w:rsidP="0000660E">
                  <w:pPr>
                    <w:spacing w:line="240" w:lineRule="auto"/>
                    <w:contextualSpacing/>
                    <w:rPr>
                      <w:rFonts w:asciiTheme="majorHAnsi" w:hAnsiTheme="majorHAnsi" w:cstheme="majorHAnsi"/>
                      <w:sz w:val="18"/>
                      <w:szCs w:val="18"/>
                    </w:rPr>
                  </w:pPr>
                  <w:r w:rsidRPr="002B1DD4">
                    <w:rPr>
                      <w:rFonts w:asciiTheme="majorHAnsi" w:hAnsiTheme="majorHAnsi" w:cstheme="majorHAnsi"/>
                      <w:sz w:val="18"/>
                      <w:szCs w:val="18"/>
                    </w:rPr>
                    <w:t>Transceiver 10</w:t>
                  </w:r>
                  <w:r w:rsidR="00EC7C3C" w:rsidRPr="002B1DD4">
                    <w:rPr>
                      <w:rFonts w:asciiTheme="majorHAnsi" w:hAnsiTheme="majorHAnsi" w:cstheme="majorHAnsi"/>
                      <w:sz w:val="18"/>
                      <w:szCs w:val="18"/>
                    </w:rPr>
                    <w:t>0</w:t>
                  </w:r>
                  <w:r w:rsidRPr="002B1DD4">
                    <w:rPr>
                      <w:rFonts w:asciiTheme="majorHAnsi" w:hAnsiTheme="majorHAnsi" w:cstheme="majorHAnsi"/>
                      <w:sz w:val="18"/>
                      <w:szCs w:val="18"/>
                    </w:rPr>
                    <w:t>G LC/LC</w:t>
                  </w:r>
                </w:p>
                <w:p w14:paraId="7D5733D6" w14:textId="2DD43DA5" w:rsidR="0067266E" w:rsidRPr="002B1DD4" w:rsidRDefault="0067266E" w:rsidP="0000660E">
                  <w:pPr>
                    <w:spacing w:line="240" w:lineRule="auto"/>
                    <w:contextualSpacing/>
                    <w:rPr>
                      <w:rFonts w:asciiTheme="majorHAnsi" w:hAnsiTheme="majorHAnsi" w:cstheme="majorHAnsi"/>
                      <w:sz w:val="18"/>
                      <w:szCs w:val="18"/>
                    </w:rPr>
                  </w:pPr>
                  <w:r w:rsidRPr="002B1DD4">
                    <w:rPr>
                      <w:rFonts w:asciiTheme="majorHAnsi" w:hAnsiTheme="majorHAnsi" w:cstheme="majorHAnsi"/>
                      <w:b/>
                      <w:bCs/>
                      <w:sz w:val="18"/>
                      <w:szCs w:val="18"/>
                    </w:rPr>
                    <w:t xml:space="preserve">Ítem </w:t>
                  </w:r>
                  <w:r w:rsidR="00246F49" w:rsidRPr="002B1DD4">
                    <w:rPr>
                      <w:rFonts w:asciiTheme="majorHAnsi" w:hAnsiTheme="majorHAnsi" w:cstheme="majorHAnsi"/>
                      <w:b/>
                      <w:bCs/>
                      <w:sz w:val="18"/>
                      <w:szCs w:val="18"/>
                    </w:rPr>
                    <w:t>SIGA:</w:t>
                  </w:r>
                  <w:r w:rsidRPr="002B1DD4">
                    <w:rPr>
                      <w:rFonts w:asciiTheme="majorHAnsi" w:hAnsiTheme="majorHAnsi" w:cstheme="majorHAnsi"/>
                      <w:sz w:val="18"/>
                      <w:szCs w:val="18"/>
                    </w:rPr>
                    <w:t xml:space="preserve"> </w:t>
                  </w:r>
                  <w:r w:rsidR="004B4111" w:rsidRPr="002B1DD4">
                    <w:rPr>
                      <w:rFonts w:asciiTheme="majorHAnsi" w:hAnsiTheme="majorHAnsi" w:cstheme="majorHAnsi"/>
                      <w:sz w:val="18"/>
                      <w:szCs w:val="18"/>
                      <w:lang w:eastAsia="es-PE"/>
                    </w:rPr>
                    <w:t>767500610008</w:t>
                  </w:r>
                  <w:r w:rsidR="004B4111" w:rsidRPr="002B1DD4">
                    <w:rPr>
                      <w:rFonts w:asciiTheme="majorHAnsi" w:hAnsiTheme="majorHAnsi" w:cstheme="majorHAnsi"/>
                      <w:sz w:val="18"/>
                      <w:szCs w:val="18"/>
                      <w:lang w:eastAsia="es-PE"/>
                    </w:rPr>
                    <w:tab/>
                    <w:t>TRANSCEIVER</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34790A" w:rsidRPr="00246F49" w14:paraId="310E4E65"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6D2641E4"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w:t>
            </w:r>
            <w:r w:rsidR="00BB2605">
              <w:rPr>
                <w:rFonts w:asciiTheme="majorHAnsi" w:hAnsiTheme="majorHAnsi" w:cstheme="majorHAnsi"/>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46F49" w:rsidRDefault="00882E6B"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Transceiver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2B748B3C" w14:textId="4343F76E" w:rsidR="004F215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debe de ser compatible con el switch del item 1</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C149D8"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7A57248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149D8"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A90054"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r w:rsidR="00A90054" w:rsidRPr="00246F49">
              <w:rPr>
                <w:rFonts w:asciiTheme="majorHAnsi" w:hAnsiTheme="majorHAnsi" w:cstheme="majorHAnsi"/>
                <w:sz w:val="20"/>
                <w:szCs w:val="20"/>
              </w:rPr>
              <w:t>.</w:t>
            </w:r>
          </w:p>
          <w:p w14:paraId="4102F4F6" w14:textId="3BAB198B" w:rsidR="00C149D8" w:rsidRPr="00246F49" w:rsidRDefault="00A90054" w:rsidP="00246F49">
            <w:pPr>
              <w:rPr>
                <w:rFonts w:asciiTheme="majorHAnsi" w:hAnsiTheme="majorHAnsi" w:cstheme="majorHAnsi"/>
                <w:sz w:val="20"/>
                <w:szCs w:val="20"/>
              </w:rPr>
            </w:pPr>
            <w:r w:rsidRPr="00246F49">
              <w:rPr>
                <w:rFonts w:asciiTheme="majorHAnsi" w:hAnsiTheme="majorHAnsi" w:cstheme="majorHAnsi"/>
                <w:sz w:val="20"/>
                <w:szCs w:val="20"/>
              </w:rPr>
              <w:t xml:space="preserve">Los días serán </w:t>
            </w:r>
            <w:r w:rsidR="00C149D8" w:rsidRPr="00246F49">
              <w:rPr>
                <w:rFonts w:asciiTheme="majorHAnsi" w:hAnsiTheme="majorHAnsi" w:cstheme="majorHAnsi"/>
                <w:sz w:val="20"/>
                <w:szCs w:val="20"/>
              </w:rPr>
              <w:t xml:space="preserve">contabilizados a partir, del día siguiente de la notificación de la orden de </w:t>
            </w:r>
            <w:r w:rsidR="003B5EB0" w:rsidRPr="00246F49">
              <w:rPr>
                <w:rFonts w:asciiTheme="majorHAnsi" w:hAnsiTheme="majorHAnsi" w:cstheme="majorHAnsi"/>
                <w:sz w:val="20"/>
                <w:szCs w:val="20"/>
              </w:rPr>
              <w:t>compra.</w:t>
            </w:r>
          </w:p>
          <w:p w14:paraId="297C67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149D8"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149D8"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149D8"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246F49" w14:paraId="381045F2" w14:textId="77777777" w:rsidTr="00FD0252">
              <w:trPr>
                <w:cantSplit/>
                <w:jc w:val="center"/>
              </w:trPr>
              <w:tc>
                <w:tcPr>
                  <w:tcW w:w="2184" w:type="dxa"/>
                  <w:vMerge w:val="restart"/>
                  <w:vAlign w:val="center"/>
                </w:tcPr>
                <w:p w14:paraId="2CF2AE7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149D8" w:rsidRPr="00246F49" w14:paraId="0676BAD7" w14:textId="77777777" w:rsidTr="00FD0252">
              <w:trPr>
                <w:cantSplit/>
                <w:jc w:val="center"/>
              </w:trPr>
              <w:tc>
                <w:tcPr>
                  <w:tcW w:w="2184" w:type="dxa"/>
                  <w:vMerge/>
                  <w:vAlign w:val="center"/>
                </w:tcPr>
                <w:p w14:paraId="63581679" w14:textId="77777777" w:rsidR="00C149D8" w:rsidRPr="00246F49" w:rsidRDefault="00C149D8" w:rsidP="00246F49">
                  <w:pPr>
                    <w:rPr>
                      <w:rFonts w:asciiTheme="majorHAnsi" w:hAnsiTheme="majorHAnsi" w:cstheme="majorHAnsi"/>
                      <w:sz w:val="20"/>
                      <w:szCs w:val="20"/>
                    </w:rPr>
                  </w:pPr>
                </w:p>
              </w:tc>
              <w:tc>
                <w:tcPr>
                  <w:tcW w:w="2977" w:type="dxa"/>
                  <w:vAlign w:val="center"/>
                </w:tcPr>
                <w:p w14:paraId="45631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Donde:</w:t>
            </w:r>
          </w:p>
          <w:p w14:paraId="23318D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C149D8" w:rsidRPr="00246F49" w:rsidRDefault="00C149D8" w:rsidP="00246F49">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y/o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lastRenderedPageBreak/>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0079" w14:textId="77777777" w:rsidR="00921561" w:rsidRDefault="00921561" w:rsidP="008C6921">
      <w:pPr>
        <w:spacing w:after="0" w:line="240" w:lineRule="auto"/>
      </w:pPr>
      <w:r>
        <w:separator/>
      </w:r>
    </w:p>
  </w:endnote>
  <w:endnote w:type="continuationSeparator" w:id="0">
    <w:p w14:paraId="7CD0DE9A" w14:textId="77777777" w:rsidR="00921561" w:rsidRDefault="0092156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92EF" w14:textId="77777777" w:rsidR="00921561" w:rsidRDefault="00921561" w:rsidP="008C6921">
      <w:pPr>
        <w:spacing w:after="0" w:line="240" w:lineRule="auto"/>
      </w:pPr>
      <w:r>
        <w:separator/>
      </w:r>
    </w:p>
  </w:footnote>
  <w:footnote w:type="continuationSeparator" w:id="0">
    <w:p w14:paraId="7F1C7CAD" w14:textId="77777777" w:rsidR="00921561" w:rsidRDefault="0092156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0BBA"/>
    <w:rsid w:val="001D588A"/>
    <w:rsid w:val="001E2E9A"/>
    <w:rsid w:val="00202F3C"/>
    <w:rsid w:val="00217A3B"/>
    <w:rsid w:val="00246F49"/>
    <w:rsid w:val="0029279B"/>
    <w:rsid w:val="002B0140"/>
    <w:rsid w:val="002B1DD4"/>
    <w:rsid w:val="002C659A"/>
    <w:rsid w:val="002E6819"/>
    <w:rsid w:val="00332CA1"/>
    <w:rsid w:val="0034790A"/>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640F72"/>
    <w:rsid w:val="00670048"/>
    <w:rsid w:val="0067266E"/>
    <w:rsid w:val="00694911"/>
    <w:rsid w:val="007210F4"/>
    <w:rsid w:val="007473CD"/>
    <w:rsid w:val="00766F4B"/>
    <w:rsid w:val="007833B3"/>
    <w:rsid w:val="00784AE2"/>
    <w:rsid w:val="00791354"/>
    <w:rsid w:val="007B49B0"/>
    <w:rsid w:val="007C0C10"/>
    <w:rsid w:val="007C56B8"/>
    <w:rsid w:val="007F25D2"/>
    <w:rsid w:val="00800E10"/>
    <w:rsid w:val="0082198A"/>
    <w:rsid w:val="00882E6B"/>
    <w:rsid w:val="008C6921"/>
    <w:rsid w:val="00921561"/>
    <w:rsid w:val="00932F7D"/>
    <w:rsid w:val="009A4F26"/>
    <w:rsid w:val="009B0471"/>
    <w:rsid w:val="009B33BB"/>
    <w:rsid w:val="00A106DD"/>
    <w:rsid w:val="00A546A7"/>
    <w:rsid w:val="00A90054"/>
    <w:rsid w:val="00AF2B75"/>
    <w:rsid w:val="00B4291D"/>
    <w:rsid w:val="00BA48AA"/>
    <w:rsid w:val="00BB2605"/>
    <w:rsid w:val="00C07078"/>
    <w:rsid w:val="00C149D8"/>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1937</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2024-03-15T18:05:00Z</cp:lastPrinted>
  <dcterms:created xsi:type="dcterms:W3CDTF">2024-03-15T18:04:00Z</dcterms:created>
  <dcterms:modified xsi:type="dcterms:W3CDTF">2024-03-15T18:16:00Z</dcterms:modified>
</cp:coreProperties>
</file>