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193848EB"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1FED">
        <w:rPr>
          <w:rFonts w:cstheme="minorHAnsi"/>
          <w:iCs/>
          <w:szCs w:val="24"/>
        </w:rPr>
        <w:t>14</w:t>
      </w:r>
      <w:r w:rsidRPr="0088673D">
        <w:rPr>
          <w:rFonts w:cstheme="minorHAnsi"/>
          <w:iCs/>
          <w:szCs w:val="24"/>
        </w:rPr>
        <w:t xml:space="preserve"> de </w:t>
      </w:r>
      <w:r w:rsidR="00B01FED">
        <w:rPr>
          <w:rFonts w:cstheme="minorHAnsi"/>
          <w:iCs/>
          <w:szCs w:val="24"/>
        </w:rPr>
        <w:t>FEBRERO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EC0DB3">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 xml:space="preserve">Anexo </w:t>
            </w:r>
            <w:proofErr w:type="spellStart"/>
            <w:r>
              <w:rPr>
                <w:rFonts w:ascii="Arial Narrow" w:eastAsia="Times New Roman" w:hAnsi="Arial Narrow"/>
                <w:b/>
                <w:color w:val="000000"/>
                <w:sz w:val="24"/>
                <w:szCs w:val="24"/>
                <w:u w:val="single"/>
                <w:vertAlign w:val="subscript"/>
                <w:lang w:eastAsia="es-PE"/>
              </w:rPr>
              <w:t>N°</w:t>
            </w:r>
            <w:proofErr w:type="spellEnd"/>
            <w:r>
              <w:rPr>
                <w:rFonts w:ascii="Arial Narrow" w:eastAsia="Times New Roman" w:hAnsi="Arial Narrow"/>
                <w:b/>
                <w:color w:val="000000"/>
                <w:sz w:val="24"/>
                <w:szCs w:val="24"/>
                <w:u w:val="single"/>
                <w:vertAlign w:val="subscript"/>
                <w:lang w:eastAsia="es-PE"/>
              </w:rPr>
              <w:t xml:space="preserve">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4E5A0420" w14:textId="77BE5E30" w:rsidR="00277E51" w:rsidRPr="00277E51" w:rsidRDefault="00DD345C" w:rsidP="00F77E9D">
                  <w:pPr>
                    <w:spacing w:after="0" w:line="240" w:lineRule="auto"/>
                    <w:rPr>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277E51" w:rsidRPr="00277E51">
                    <w:rPr>
                      <w:rFonts w:eastAsia="Times New Roman" w:cs="Calibri"/>
                      <w:b/>
                      <w:bCs/>
                      <w:color w:val="000000"/>
                      <w:sz w:val="20"/>
                      <w:szCs w:val="20"/>
                      <w:lang w:eastAsia="es-PE"/>
                    </w:rPr>
                    <w:t>767400090153 / CINTA 6 in X 76 m PARA IMPRESORA TERMICA DE ETIQUETA</w:t>
                  </w:r>
                </w:p>
                <w:p w14:paraId="355A6700" w14:textId="613521AE" w:rsidR="00547224" w:rsidRPr="00277E51" w:rsidRDefault="00724661" w:rsidP="00F77E9D">
                  <w:pPr>
                    <w:spacing w:after="0" w:line="240" w:lineRule="auto"/>
                    <w:rPr>
                      <w:rFonts w:eastAsia="Times New Roman" w:cs="Calibri"/>
                      <w:color w:val="000000"/>
                      <w:sz w:val="20"/>
                      <w:szCs w:val="20"/>
                      <w:lang w:eastAsia="es-PE"/>
                    </w:rPr>
                  </w:pPr>
                  <w:r w:rsidRPr="00277E51">
                    <w:rPr>
                      <w:sz w:val="20"/>
                      <w:szCs w:val="20"/>
                    </w:rPr>
                    <w:t>CINTA LAMINADA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1E08B810" w:rsidR="00547224" w:rsidRDefault="00604E8E" w:rsidP="00F77E9D">
                  <w:pPr>
                    <w:spacing w:after="0" w:line="240" w:lineRule="auto"/>
                    <w:jc w:val="center"/>
                    <w:rPr>
                      <w:rFonts w:eastAsia="Times New Roman" w:cs="Calibri"/>
                      <w:color w:val="000000"/>
                      <w:lang w:eastAsia="es-PE"/>
                    </w:rPr>
                  </w:pPr>
                  <w:r>
                    <w:rPr>
                      <w:rFonts w:eastAsia="Times New Roman" w:cs="Calibri"/>
                      <w:color w:val="000000"/>
                      <w:lang w:eastAsia="es-PE"/>
                    </w:rPr>
                    <w:t>20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proofErr w:type="spellStart"/>
                  <w:r w:rsidRPr="006712F1">
                    <w:rPr>
                      <w:rFonts w:eastAsia="Times New Roman" w:cs="Calibri"/>
                      <w:b/>
                      <w:bCs/>
                      <w:color w:val="000000"/>
                      <w:sz w:val="20"/>
                      <w:szCs w:val="20"/>
                      <w:lang w:eastAsia="es-PE"/>
                    </w:rPr>
                    <w:t>Item</w:t>
                  </w:r>
                  <w:proofErr w:type="spellEnd"/>
                  <w:r w:rsidRPr="006712F1">
                    <w:rPr>
                      <w:rFonts w:eastAsia="Times New Roman" w:cs="Calibri"/>
                      <w:b/>
                      <w:bCs/>
                      <w:color w:val="000000"/>
                      <w:sz w:val="20"/>
                      <w:szCs w:val="20"/>
                      <w:lang w:eastAsia="es-PE"/>
                    </w:rPr>
                    <w:t xml:space="preserve">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lastRenderedPageBreak/>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724661" w:rsidRDefault="00D67846" w:rsidP="00D67846">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p w14:paraId="2B748B3C" w14:textId="29468013" w:rsidR="00D67846" w:rsidRPr="00724661" w:rsidRDefault="00D67846" w:rsidP="00D67846">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Color: Texto Negro sobre fondo blanco</w:t>
            </w:r>
          </w:p>
          <w:p w14:paraId="2757465A" w14:textId="7F29E3AA"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12 mm </w:t>
            </w:r>
            <w:r w:rsidR="006712F1">
              <w:rPr>
                <w:rFonts w:asciiTheme="minorHAnsi" w:eastAsiaTheme="minorHAnsi" w:hAnsiTheme="minorHAnsi" w:cstheme="minorBidi"/>
                <w:sz w:val="22"/>
                <w:szCs w:val="22"/>
              </w:rPr>
              <w:t>x 10 cm c/u</w:t>
            </w:r>
          </w:p>
          <w:p w14:paraId="5A32C117"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Resistente al agua, la luz del sol, los productos químicos, calor y frío</w:t>
            </w:r>
          </w:p>
          <w:p w14:paraId="4AF74CDB" w14:textId="77777777" w:rsidR="006712F1"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Cinta laminada </w:t>
            </w:r>
            <w:proofErr w:type="spellStart"/>
            <w:r w:rsidRPr="00604E8E">
              <w:rPr>
                <w:rFonts w:asciiTheme="minorHAnsi" w:eastAsiaTheme="minorHAnsi" w:hAnsiTheme="minorHAnsi" w:cstheme="minorBidi"/>
                <w:sz w:val="22"/>
                <w:szCs w:val="22"/>
              </w:rPr>
              <w:t>Label</w:t>
            </w:r>
            <w:proofErr w:type="spellEnd"/>
            <w:r w:rsidRPr="00604E8E">
              <w:rPr>
                <w:rFonts w:asciiTheme="minorHAnsi" w:eastAsiaTheme="minorHAnsi" w:hAnsiTheme="minorHAnsi" w:cstheme="minorBidi"/>
                <w:sz w:val="22"/>
                <w:szCs w:val="22"/>
              </w:rPr>
              <w:t xml:space="preserve"> </w:t>
            </w:r>
            <w:proofErr w:type="spellStart"/>
            <w:r w:rsidRPr="00604E8E">
              <w:rPr>
                <w:rFonts w:asciiTheme="minorHAnsi" w:eastAsiaTheme="minorHAnsi" w:hAnsiTheme="minorHAnsi" w:cstheme="minorBidi"/>
                <w:sz w:val="22"/>
                <w:szCs w:val="22"/>
              </w:rPr>
              <w:t>Ident</w:t>
            </w:r>
            <w:proofErr w:type="spellEnd"/>
          </w:p>
          <w:p w14:paraId="66AF1677" w14:textId="77777777" w:rsidR="006712F1" w:rsidRDefault="006712F1"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p>
          <w:p w14:paraId="77DD1479" w14:textId="4C2A77D9" w:rsidR="004C1972"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 </w:t>
            </w:r>
          </w:p>
          <w:p w14:paraId="7864DE0D" w14:textId="6672E148" w:rsidR="009C4FE6" w:rsidRDefault="009C4FE6" w:rsidP="00604E8E">
            <w:pPr>
              <w:pStyle w:val="hpe-more-informationlist-item"/>
              <w:shd w:val="clear" w:color="auto" w:fill="F6F6F6"/>
              <w:ind w:left="2623" w:hanging="2551"/>
              <w:contextualSpacing/>
              <w:jc w:val="center"/>
              <w:rPr>
                <w:noProof/>
              </w:rPr>
            </w:pPr>
            <w:r>
              <w:rPr>
                <w:noProof/>
              </w:rPr>
              <w:lastRenderedPageBreak/>
              <w:drawing>
                <wp:anchor distT="0" distB="0" distL="114300" distR="114300" simplePos="0" relativeHeight="251658240" behindDoc="0" locked="0" layoutInCell="1" allowOverlap="1" wp14:anchorId="03430CE1" wp14:editId="1A0914B5">
                  <wp:simplePos x="0" y="0"/>
                  <wp:positionH relativeFrom="column">
                    <wp:posOffset>721995</wp:posOffset>
                  </wp:positionH>
                  <wp:positionV relativeFrom="page">
                    <wp:posOffset>-30480</wp:posOffset>
                  </wp:positionV>
                  <wp:extent cx="1571625" cy="1628775"/>
                  <wp:effectExtent l="0" t="0" r="9525" b="9525"/>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571625"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43B9C3" w14:textId="41293F6C" w:rsidR="00604E8E" w:rsidRPr="00547224" w:rsidRDefault="00604E8E" w:rsidP="00604E8E">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2E4BFB">
              <w:rPr>
                <w:rFonts w:asciiTheme="minorHAnsi" w:eastAsiaTheme="minorHAnsi" w:hAnsiTheme="minorHAnsi" w:cstheme="minorBidi"/>
                <w:sz w:val="22"/>
                <w:szCs w:val="22"/>
              </w:rPr>
              <w:t>TORNILLO DE ACERO AUTORROSCANTE 6 mm X 1 in</w:t>
            </w:r>
          </w:p>
          <w:p w14:paraId="234FB905" w14:textId="6BDAADEF" w:rsidR="00987D48" w:rsidRDefault="00987D48"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p>
          <w:p w14:paraId="4F2EA8E1" w14:textId="69727877" w:rsidR="002E4BFB" w:rsidRPr="00604E8E" w:rsidRDefault="00987D48" w:rsidP="00987D48">
            <w:pPr>
              <w:pStyle w:val="hpe-more-informationlist-item"/>
              <w:shd w:val="clear" w:color="auto" w:fill="F6F6F6"/>
              <w:ind w:left="2623" w:hanging="2551"/>
              <w:contextualSpacing/>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Default="00277E51" w:rsidP="00604E8E">
            <w:pPr>
              <w:pStyle w:val="hpe-more-informationlist-item"/>
              <w:shd w:val="clear" w:color="auto" w:fill="F6F6F6"/>
              <w:ind w:left="2623" w:hanging="2551"/>
              <w:contextualSpacing/>
              <w:rPr>
                <w:rFonts w:asciiTheme="minorHAnsi" w:eastAsiaTheme="minorHAnsi" w:hAnsiTheme="minorHAnsi" w:cstheme="minorBidi"/>
                <w:sz w:val="22"/>
                <w:szCs w:val="22"/>
                <w:lang w:val="it-IT"/>
              </w:rPr>
            </w:pPr>
            <w:r w:rsidRPr="00277E51">
              <w:rPr>
                <w:rFonts w:asciiTheme="minorHAnsi" w:eastAsiaTheme="minorHAnsi" w:hAnsiTheme="minorHAnsi" w:cstheme="minorBidi"/>
                <w:sz w:val="22"/>
                <w:szCs w:val="22"/>
                <w:lang w:val="it-IT"/>
              </w:rPr>
              <w:t>CINTA AISLANTE VINILICA 3/4 in X 20 m</w:t>
            </w:r>
          </w:p>
          <w:p w14:paraId="6F26EB95" w14:textId="2BD56ACE" w:rsidR="00277E51" w:rsidRPr="00277E51" w:rsidRDefault="00277E51" w:rsidP="00F1466E">
            <w:pPr>
              <w:pStyle w:val="hpe-more-informationlist-item"/>
              <w:shd w:val="clear" w:color="auto" w:fill="F6F6F6"/>
              <w:ind w:left="2623" w:hanging="2551"/>
              <w:contextualSpacing/>
              <w:jc w:val="center"/>
              <w:rPr>
                <w:rFonts w:asciiTheme="minorHAnsi" w:eastAsiaTheme="minorHAnsi" w:hAnsiTheme="minorHAnsi" w:cstheme="minorBidi"/>
                <w:sz w:val="22"/>
                <w:szCs w:val="22"/>
                <w:lang w:val="it-IT"/>
              </w:rPr>
            </w:pPr>
            <w:r>
              <w:rPr>
                <w:rFonts w:asciiTheme="minorHAnsi" w:eastAsiaTheme="minorHAnsi" w:hAnsiTheme="minorHAnsi" w:cstheme="minorBidi"/>
                <w:noProof/>
                <w:sz w:val="22"/>
                <w:szCs w:val="22"/>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w:t>
            </w:r>
            <w:proofErr w:type="gramStart"/>
            <w:r>
              <w:rPr>
                <w:rFonts w:ascii="Arial Narrow" w:eastAsia="Times New Roman" w:hAnsi="Arial Narrow"/>
                <w:iCs/>
                <w:color w:val="000000"/>
                <w:sz w:val="24"/>
                <w:szCs w:val="24"/>
                <w:vertAlign w:val="subscript"/>
                <w:lang w:eastAsia="es-PE"/>
              </w:rPr>
              <w:t>catálogos  y</w:t>
            </w:r>
            <w:proofErr w:type="gramEnd"/>
            <w:r>
              <w:rPr>
                <w:rFonts w:ascii="Arial Narrow" w:eastAsia="Times New Roman" w:hAnsi="Arial Narrow"/>
                <w:iCs/>
                <w:color w:val="000000"/>
                <w:sz w:val="24"/>
                <w:szCs w:val="24"/>
                <w:vertAlign w:val="subscript"/>
                <w:lang w:eastAsia="es-PE"/>
              </w:rPr>
              <w:t xml:space="preserve">/o documentos equivalentes, caso contrario será nula la cotización. </w:t>
            </w:r>
          </w:p>
        </w:tc>
      </w:tr>
      <w:tr w:rsidR="00C149D8" w:rsidRPr="00AC5FB5" w14:paraId="0A9088D5"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lastRenderedPageBreak/>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lastRenderedPageBreak/>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D67846">
            <w:pPr>
              <w:spacing w:after="0" w:line="240" w:lineRule="auto"/>
              <w:ind w:left="352" w:right="71"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w:t>
            </w:r>
            <w:r w:rsidRPr="009220EF">
              <w:rPr>
                <w:rFonts w:ascii="Arial Narrow" w:hAnsi="Arial Narrow" w:cs="Arial"/>
                <w:iCs/>
                <w:sz w:val="24"/>
                <w:szCs w:val="24"/>
                <w:vertAlign w:val="subscript"/>
                <w:lang w:eastAsia="es-ES"/>
              </w:rPr>
              <w:lastRenderedPageBreak/>
              <w:t>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lastRenderedPageBreak/>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11F4B386" w14:textId="2B302499" w:rsidR="00C149D8" w:rsidRPr="00A62284" w:rsidRDefault="00C149D8" w:rsidP="006E2991">
            <w:pPr>
              <w:pStyle w:val="Prrafodelista"/>
              <w:widowControl w:val="0"/>
              <w:numPr>
                <w:ilvl w:val="0"/>
                <w:numId w:val="12"/>
              </w:numPr>
              <w:spacing w:after="120" w:line="240" w:lineRule="auto"/>
              <w:ind w:left="453" w:hanging="357"/>
              <w:rPr>
                <w:rFonts w:ascii="Arial Narrow" w:hAnsi="Arial Narrow" w:cs="Arial"/>
                <w:sz w:val="24"/>
                <w:szCs w:val="24"/>
                <w:vertAlign w:val="subscript"/>
                <w:lang w:val="es-ES"/>
              </w:rPr>
            </w:pPr>
            <w:r w:rsidRPr="00A62284">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A62284">
              <w:rPr>
                <w:rFonts w:ascii="Arial Narrow" w:hAnsi="Arial Narrow" w:cs="Arial"/>
                <w:b w:val="0"/>
                <w:i/>
                <w:sz w:val="24"/>
                <w:szCs w:val="24"/>
                <w:vertAlign w:val="subscript"/>
                <w:lang w:val="es-ES_tradnl"/>
              </w:rPr>
              <w:t>.</w:t>
            </w:r>
          </w:p>
          <w:p w14:paraId="23BEEE83" w14:textId="78272F86" w:rsidR="00C149D8" w:rsidRPr="00A62284" w:rsidRDefault="00C149D8" w:rsidP="00522857">
            <w:pPr>
              <w:pStyle w:val="Prrafodelista"/>
              <w:widowControl w:val="0"/>
              <w:numPr>
                <w:ilvl w:val="0"/>
                <w:numId w:val="12"/>
              </w:numPr>
              <w:spacing w:after="120" w:line="240" w:lineRule="auto"/>
              <w:ind w:left="453" w:hanging="357"/>
              <w:rPr>
                <w:rFonts w:ascii="Arial Narrow" w:hAnsi="Arial Narrow" w:cs="Arial"/>
                <w:i/>
                <w:sz w:val="24"/>
                <w:szCs w:val="24"/>
                <w:vertAlign w:val="subscript"/>
              </w:rPr>
            </w:pPr>
            <w:r w:rsidRPr="00A62284">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5C879F1" w14:textId="77777777" w:rsidR="00C149D8" w:rsidRDefault="00C149D8" w:rsidP="00A62284"/>
    <w:sectPr w:rsidR="00C149D8">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66C47" w14:textId="77777777" w:rsidR="00EC0DB3" w:rsidRDefault="00EC0DB3" w:rsidP="008C6921">
      <w:pPr>
        <w:spacing w:after="0" w:line="240" w:lineRule="auto"/>
      </w:pPr>
      <w:r>
        <w:separator/>
      </w:r>
    </w:p>
  </w:endnote>
  <w:endnote w:type="continuationSeparator" w:id="0">
    <w:p w14:paraId="79B86EAF" w14:textId="77777777" w:rsidR="00EC0DB3" w:rsidRDefault="00EC0DB3"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8A13D" w14:textId="77777777" w:rsidR="00EC0DB3" w:rsidRDefault="00EC0DB3" w:rsidP="008C6921">
      <w:pPr>
        <w:spacing w:after="0" w:line="240" w:lineRule="auto"/>
      </w:pPr>
      <w:r>
        <w:separator/>
      </w:r>
    </w:p>
  </w:footnote>
  <w:footnote w:type="continuationSeparator" w:id="0">
    <w:p w14:paraId="5092391D" w14:textId="77777777" w:rsidR="00EC0DB3" w:rsidRDefault="00EC0DB3"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6FE8"/>
    <w:rsid w:val="00145539"/>
    <w:rsid w:val="0019565E"/>
    <w:rsid w:val="001A7DB5"/>
    <w:rsid w:val="001C1215"/>
    <w:rsid w:val="00235C5E"/>
    <w:rsid w:val="00277E51"/>
    <w:rsid w:val="0029279B"/>
    <w:rsid w:val="002B0140"/>
    <w:rsid w:val="002E4BFB"/>
    <w:rsid w:val="002E6819"/>
    <w:rsid w:val="00332CA1"/>
    <w:rsid w:val="0034790A"/>
    <w:rsid w:val="00366035"/>
    <w:rsid w:val="00386855"/>
    <w:rsid w:val="003A09B9"/>
    <w:rsid w:val="003B4128"/>
    <w:rsid w:val="003B7B9D"/>
    <w:rsid w:val="004274C3"/>
    <w:rsid w:val="00465577"/>
    <w:rsid w:val="0047001B"/>
    <w:rsid w:val="00490F39"/>
    <w:rsid w:val="004C1972"/>
    <w:rsid w:val="004D7978"/>
    <w:rsid w:val="004E6687"/>
    <w:rsid w:val="005126E2"/>
    <w:rsid w:val="005315BE"/>
    <w:rsid w:val="0053163F"/>
    <w:rsid w:val="00547224"/>
    <w:rsid w:val="005519B3"/>
    <w:rsid w:val="00585355"/>
    <w:rsid w:val="005A7EF9"/>
    <w:rsid w:val="00604E8E"/>
    <w:rsid w:val="00640F72"/>
    <w:rsid w:val="006712F1"/>
    <w:rsid w:val="00694911"/>
    <w:rsid w:val="007210F4"/>
    <w:rsid w:val="00724661"/>
    <w:rsid w:val="00724EEE"/>
    <w:rsid w:val="007473CD"/>
    <w:rsid w:val="0075116A"/>
    <w:rsid w:val="007644C2"/>
    <w:rsid w:val="007833B3"/>
    <w:rsid w:val="00791354"/>
    <w:rsid w:val="007B49B0"/>
    <w:rsid w:val="007B7628"/>
    <w:rsid w:val="007C0C10"/>
    <w:rsid w:val="007F25D2"/>
    <w:rsid w:val="00800E10"/>
    <w:rsid w:val="0082198A"/>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2B75"/>
    <w:rsid w:val="00B01FED"/>
    <w:rsid w:val="00B37351"/>
    <w:rsid w:val="00B4291D"/>
    <w:rsid w:val="00BD5388"/>
    <w:rsid w:val="00BE74A9"/>
    <w:rsid w:val="00C07078"/>
    <w:rsid w:val="00C149D8"/>
    <w:rsid w:val="00C41CC6"/>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2162</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cp:revision>
  <cp:lastPrinted>2024-02-21T17:52:00Z</cp:lastPrinted>
  <dcterms:created xsi:type="dcterms:W3CDTF">2024-04-03T13:38:00Z</dcterms:created>
  <dcterms:modified xsi:type="dcterms:W3CDTF">2024-04-03T13:38:00Z</dcterms:modified>
</cp:coreProperties>
</file>