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674120E6"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B01FED">
        <w:rPr>
          <w:rFonts w:cstheme="minorHAnsi"/>
          <w:b/>
          <w:bCs/>
          <w:color w:val="000000"/>
          <w:szCs w:val="24"/>
          <w:u w:val="single"/>
          <w:lang w:val="it-IT"/>
        </w:rPr>
        <w:t>6</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398CFD52"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B01FED">
        <w:rPr>
          <w:iCs/>
          <w:szCs w:val="24"/>
        </w:rPr>
        <w:t>JACK RJ45</w:t>
      </w:r>
    </w:p>
    <w:p w14:paraId="7F8A9973" w14:textId="193848EB"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B01FED">
        <w:rPr>
          <w:rFonts w:cstheme="minorHAnsi"/>
          <w:iCs/>
          <w:szCs w:val="24"/>
        </w:rPr>
        <w:t>14</w:t>
      </w:r>
      <w:r w:rsidRPr="0088673D">
        <w:rPr>
          <w:rFonts w:cstheme="minorHAnsi"/>
          <w:iCs/>
          <w:szCs w:val="24"/>
        </w:rPr>
        <w:t xml:space="preserve"> de </w:t>
      </w:r>
      <w:r w:rsidR="00B01FED">
        <w:rPr>
          <w:rFonts w:cstheme="minorHAnsi"/>
          <w:iCs/>
          <w:szCs w:val="24"/>
        </w:rPr>
        <w:t>FEBRERO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8DA4849"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1C48060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E00D6F">
          <w:headerReference w:type="default" r:id="rId7"/>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3C9E116B"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E16A11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553E784D" w:rsidR="00F77E9D" w:rsidRPr="0089731E" w:rsidRDefault="00235C5E" w:rsidP="00F77E9D">
                  <w:pPr>
                    <w:spacing w:after="0" w:line="240" w:lineRule="auto"/>
                    <w:rPr>
                      <w:rFonts w:eastAsia="Times New Roman" w:cs="Calibri"/>
                      <w:color w:val="000000"/>
                      <w:lang w:eastAsia="es-PE"/>
                    </w:rPr>
                  </w:pPr>
                  <w:r w:rsidRPr="00235C5E">
                    <w:rPr>
                      <w:rFonts w:eastAsia="Times New Roman" w:cs="Calibri"/>
                      <w:color w:val="000000"/>
                      <w:lang w:eastAsia="es-PE"/>
                    </w:rPr>
                    <w:t>JACK MODULAR BLINDADO RJ45 CATEGORIA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BD653B0"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16A5F896"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150</w:t>
                  </w:r>
                </w:p>
              </w:tc>
            </w:tr>
            <w:tr w:rsidR="0034790A" w:rsidRPr="0089731E" w14:paraId="41345E5B"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5BA897F" w14:textId="770386C9" w:rsidR="0034790A" w:rsidRDefault="00D67846" w:rsidP="00F77E9D">
                  <w:pPr>
                    <w:spacing w:after="0" w:line="240" w:lineRule="auto"/>
                    <w:rPr>
                      <w:rFonts w:eastAsia="Times New Roman" w:cs="Calibri"/>
                      <w:color w:val="000000"/>
                      <w:lang w:eastAsia="es-PE"/>
                    </w:rPr>
                  </w:pPr>
                  <w:r w:rsidRPr="00D67846">
                    <w:rPr>
                      <w:rFonts w:eastAsia="Times New Roman" w:cs="Calibri"/>
                      <w:color w:val="000000"/>
                      <w:lang w:eastAsia="es-PE"/>
                    </w:rPr>
                    <w:t>PEINE PARA CABLES</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63C44FA1" w:rsidR="0034790A" w:rsidRDefault="00D67846"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47224" w:rsidRPr="0089731E"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38127E47" w:rsidR="00547224" w:rsidRPr="00CF124B" w:rsidRDefault="00604E8E" w:rsidP="00F77E9D">
                  <w:pPr>
                    <w:spacing w:after="0" w:line="240" w:lineRule="auto"/>
                    <w:rPr>
                      <w:rFonts w:eastAsia="Times New Roman" w:cs="Calibri"/>
                      <w:color w:val="000000"/>
                      <w:lang w:eastAsia="es-PE"/>
                    </w:rPr>
                  </w:pPr>
                  <w:r w:rsidRPr="00604E8E">
                    <w:t>Cinta laminada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1E08B810" w:rsidR="00547224" w:rsidRDefault="00604E8E" w:rsidP="00F77E9D">
                  <w:pPr>
                    <w:spacing w:after="0" w:line="240" w:lineRule="auto"/>
                    <w:jc w:val="center"/>
                    <w:rPr>
                      <w:rFonts w:eastAsia="Times New Roman" w:cs="Calibri"/>
                      <w:color w:val="000000"/>
                      <w:lang w:eastAsia="es-PE"/>
                    </w:rPr>
                  </w:pPr>
                  <w:r>
                    <w:rPr>
                      <w:rFonts w:eastAsia="Times New Roman" w:cs="Calibri"/>
                      <w:color w:val="000000"/>
                      <w:lang w:eastAsia="es-PE"/>
                    </w:rPr>
                    <w:t>20</w:t>
                  </w:r>
                </w:p>
              </w:tc>
            </w:tr>
            <w:tr w:rsidR="00547224" w:rsidRPr="0089731E"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74EEAF3D"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740" w:type="dxa"/>
                  <w:tcBorders>
                    <w:top w:val="single" w:sz="4" w:space="0" w:color="auto"/>
                    <w:left w:val="nil"/>
                    <w:bottom w:val="single" w:sz="4" w:space="0" w:color="auto"/>
                    <w:right w:val="single" w:sz="4" w:space="0" w:color="auto"/>
                  </w:tcBorders>
                  <w:shd w:val="clear" w:color="auto" w:fill="auto"/>
                  <w:vAlign w:val="center"/>
                </w:tcPr>
                <w:p w14:paraId="7D5733D6" w14:textId="2D20188F" w:rsidR="00547224" w:rsidRPr="00CF124B" w:rsidRDefault="00547224" w:rsidP="00F77E9D">
                  <w:pPr>
                    <w:spacing w:after="0" w:line="240" w:lineRule="auto"/>
                    <w:rPr>
                      <w:rFonts w:eastAsia="Times New Roman" w:cs="Calibri"/>
                      <w:color w:val="000000"/>
                      <w:lang w:eastAsia="es-PE"/>
                    </w:rPr>
                  </w:pP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5D40461" w:rsidR="00547224" w:rsidRDefault="00547224" w:rsidP="00F77E9D">
                  <w:pPr>
                    <w:spacing w:after="0" w:line="240" w:lineRule="auto"/>
                    <w:jc w:val="center"/>
                    <w:rPr>
                      <w:rFonts w:eastAsia="Times New Roman" w:cs="Calibri"/>
                      <w:color w:val="000000"/>
                      <w:lang w:eastAsia="es-PE"/>
                    </w:rPr>
                  </w:pP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lastRenderedPageBreak/>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1A7DB5" w:rsidRDefault="00085CB3" w:rsidP="001A7DB5">
                  <w:pPr>
                    <w:spacing w:line="240" w:lineRule="auto"/>
                    <w:contextualSpacing/>
                    <w:rPr>
                      <w:lang w:val="en-US" w:eastAsia="es-PE"/>
                    </w:rPr>
                  </w:pPr>
                  <w:r w:rsidRPr="001A7DB5">
                    <w:rPr>
                      <w:lang w:val="en-US" w:eastAsia="es-PE"/>
                    </w:rPr>
                    <w:t>Cable F/UTP Cat GA</w:t>
                  </w:r>
                </w:p>
                <w:p w14:paraId="74D3DD83" w14:textId="77777777" w:rsidR="00085CB3" w:rsidRPr="001A7DB5" w:rsidRDefault="00085CB3" w:rsidP="001A7DB5">
                  <w:pPr>
                    <w:spacing w:line="240" w:lineRule="auto"/>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w:t>
                  </w:r>
                  <w:proofErr w:type="spellStart"/>
                  <w:r w:rsidRPr="001A7DB5">
                    <w:rPr>
                      <w:lang w:eastAsia="es-PE"/>
                    </w:rPr>
                    <w:t>Face</w:t>
                  </w:r>
                  <w:proofErr w:type="spellEnd"/>
                  <w:r w:rsidR="00C41CC6">
                    <w:rPr>
                      <w:lang w:eastAsia="es-PE"/>
                    </w:rPr>
                    <w:t xml:space="preserve"> </w:t>
                  </w:r>
                  <w:proofErr w:type="spellStart"/>
                  <w:r w:rsidR="00C41CC6">
                    <w:rPr>
                      <w:lang w:eastAsia="es-PE"/>
                    </w:rPr>
                    <w:t>P</w:t>
                  </w:r>
                  <w:r w:rsidRPr="001A7DB5">
                    <w:rPr>
                      <w:lang w:eastAsia="es-PE"/>
                    </w:rPr>
                    <w:t>late</w:t>
                  </w:r>
                  <w:proofErr w:type="spellEnd"/>
                  <w:r w:rsidRPr="001A7DB5">
                    <w:rPr>
                      <w:lang w:eastAsia="es-PE"/>
                    </w:rPr>
                    <w:t xml:space="preserv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spacing w:line="240" w:lineRule="auto"/>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30148F15" w:rsidR="003A09B9" w:rsidRPr="001A7DB5" w:rsidRDefault="003A09B9" w:rsidP="003A09B9">
                  <w:pPr>
                    <w:contextualSpacing/>
                    <w:jc w:val="center"/>
                    <w:rPr>
                      <w:lang w:val="it-IT" w:eastAsia="es-PE"/>
                    </w:rPr>
                  </w:pPr>
                  <w:r>
                    <w:rPr>
                      <w:noProof/>
                      <w:lang w:eastAsia="es-PE"/>
                    </w:rPr>
                    <w:drawing>
                      <wp:inline distT="0" distB="0" distL="0" distR="0" wp14:anchorId="22FE4B5F" wp14:editId="49EDB811">
                        <wp:extent cx="1677744" cy="1677744"/>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1793" cy="1711793"/>
                                </a:xfrm>
                                <a:prstGeom prst="rect">
                                  <a:avLst/>
                                </a:prstGeom>
                                <a:noFill/>
                              </pic:spPr>
                            </pic:pic>
                          </a:graphicData>
                        </a:graphic>
                      </wp:inline>
                    </w:drawing>
                  </w:r>
                </w:p>
              </w:tc>
            </w:tr>
          </w:tbl>
          <w:p w14:paraId="1FB9D1FB" w14:textId="1A6341E7"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0D4B6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55950C" w14:textId="77777777" w:rsidR="00D67846" w:rsidRPr="00D67846" w:rsidRDefault="00D67846" w:rsidP="00D67846">
            <w:pPr>
              <w:spacing w:line="240" w:lineRule="auto"/>
              <w:contextualSpacing/>
              <w:rPr>
                <w:lang w:eastAsia="es-PE"/>
              </w:rPr>
            </w:pPr>
            <w:r w:rsidRPr="00D67846">
              <w:rPr>
                <w:lang w:eastAsia="es-PE"/>
              </w:rPr>
              <w:t>Peine para cables - elaborado por Impresión 3D.</w:t>
            </w:r>
          </w:p>
          <w:p w14:paraId="6743DB5A" w14:textId="77777777" w:rsidR="00D67846" w:rsidRPr="00D67846" w:rsidRDefault="00D67846" w:rsidP="00D67846">
            <w:pPr>
              <w:spacing w:line="240" w:lineRule="auto"/>
              <w:contextualSpacing/>
              <w:rPr>
                <w:lang w:eastAsia="es-PE"/>
              </w:rPr>
            </w:pPr>
            <w:r w:rsidRPr="00D67846">
              <w:rPr>
                <w:lang w:eastAsia="es-PE"/>
              </w:rPr>
              <w:t>útil para organizar cables como UTP CAT6 CAT6A CAT5 CAT5E</w:t>
            </w:r>
          </w:p>
          <w:p w14:paraId="58593E24" w14:textId="77777777" w:rsidR="0034790A" w:rsidRPr="00D67846" w:rsidRDefault="00D67846" w:rsidP="00D67846">
            <w:pPr>
              <w:spacing w:line="240" w:lineRule="auto"/>
              <w:contextualSpacing/>
              <w:rPr>
                <w:lang w:eastAsia="es-PE"/>
              </w:rPr>
            </w:pPr>
            <w:r w:rsidRPr="00D67846">
              <w:rPr>
                <w:lang w:eastAsia="es-PE"/>
              </w:rPr>
              <w:t>Organiza hasta 42 cables UTP simultánea y eficientemente.</w:t>
            </w:r>
          </w:p>
          <w:p w14:paraId="288600ED" w14:textId="77777777" w:rsidR="00D67846" w:rsidRDefault="00D67846" w:rsidP="00D67846">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p>
          <w:p w14:paraId="2B748B3C" w14:textId="507A7949" w:rsidR="00D67846" w:rsidRPr="00F92889" w:rsidRDefault="00D67846" w:rsidP="00D67846">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r>
              <w:rPr>
                <w:noProof/>
              </w:rPr>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0D4B6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2996D132" w:rsidR="004C1972" w:rsidRPr="002E6819" w:rsidRDefault="00604E8E" w:rsidP="005519B3">
            <w:pPr>
              <w:spacing w:after="0" w:line="240" w:lineRule="auto"/>
              <w:rPr>
                <w:rFonts w:cstheme="minorHAnsi"/>
                <w:color w:val="000000"/>
                <w:sz w:val="24"/>
                <w:szCs w:val="24"/>
                <w:vertAlign w:val="subscript"/>
                <w:lang w:eastAsia="es-PE"/>
              </w:rPr>
            </w:pPr>
            <w:r w:rsidRPr="00604E8E">
              <w:t>Cinta laminada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63D68754" w:rsidR="004C1972" w:rsidRDefault="00604E8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Color: Texto Negro sobre fondo blanco</w:t>
            </w:r>
          </w:p>
          <w:p w14:paraId="025C3B30"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12 mm de ancho</w:t>
            </w:r>
          </w:p>
          <w:p w14:paraId="2757465A"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8 metros de longitud</w:t>
            </w:r>
          </w:p>
          <w:p w14:paraId="5A32C117" w14:textId="77777777" w:rsidR="00604E8E" w:rsidRPr="00604E8E"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Resistente al agua, la luz del sol, los productos químicos, calor y frío</w:t>
            </w:r>
          </w:p>
          <w:p w14:paraId="77DD1479" w14:textId="77777777" w:rsidR="004C1972" w:rsidRDefault="00604E8E" w:rsidP="00604E8E">
            <w:pPr>
              <w:pStyle w:val="hpe-more-informationlist-item"/>
              <w:shd w:val="clear" w:color="auto" w:fill="F6F6F6"/>
              <w:ind w:left="2623" w:hanging="2551"/>
              <w:contextualSpacing/>
              <w:rPr>
                <w:rFonts w:asciiTheme="minorHAnsi" w:eastAsiaTheme="minorHAnsi" w:hAnsiTheme="minorHAnsi" w:cstheme="minorBidi"/>
                <w:sz w:val="22"/>
                <w:szCs w:val="22"/>
              </w:rPr>
            </w:pPr>
            <w:r w:rsidRPr="00604E8E">
              <w:rPr>
                <w:rFonts w:asciiTheme="minorHAnsi" w:eastAsiaTheme="minorHAnsi" w:hAnsiTheme="minorHAnsi" w:cstheme="minorBidi"/>
                <w:sz w:val="22"/>
                <w:szCs w:val="22"/>
              </w:rPr>
              <w:t xml:space="preserve">Cinta laminada </w:t>
            </w:r>
            <w:proofErr w:type="spellStart"/>
            <w:r w:rsidRPr="00604E8E">
              <w:rPr>
                <w:rFonts w:asciiTheme="minorHAnsi" w:eastAsiaTheme="minorHAnsi" w:hAnsiTheme="minorHAnsi" w:cstheme="minorBidi"/>
                <w:sz w:val="22"/>
                <w:szCs w:val="22"/>
              </w:rPr>
              <w:t>Label</w:t>
            </w:r>
            <w:proofErr w:type="spellEnd"/>
            <w:r w:rsidRPr="00604E8E">
              <w:rPr>
                <w:rFonts w:asciiTheme="minorHAnsi" w:eastAsiaTheme="minorHAnsi" w:hAnsiTheme="minorHAnsi" w:cstheme="minorBidi"/>
                <w:sz w:val="22"/>
                <w:szCs w:val="22"/>
              </w:rPr>
              <w:t xml:space="preserve"> </w:t>
            </w:r>
            <w:proofErr w:type="spellStart"/>
            <w:r w:rsidRPr="00604E8E">
              <w:rPr>
                <w:rFonts w:asciiTheme="minorHAnsi" w:eastAsiaTheme="minorHAnsi" w:hAnsiTheme="minorHAnsi" w:cstheme="minorBidi"/>
                <w:sz w:val="22"/>
                <w:szCs w:val="22"/>
              </w:rPr>
              <w:t>Ident</w:t>
            </w:r>
            <w:proofErr w:type="spellEnd"/>
            <w:r w:rsidRPr="00604E8E">
              <w:rPr>
                <w:rFonts w:asciiTheme="minorHAnsi" w:eastAsiaTheme="minorHAnsi" w:hAnsiTheme="minorHAnsi" w:cstheme="minorBidi"/>
                <w:sz w:val="22"/>
                <w:szCs w:val="22"/>
              </w:rPr>
              <w:t xml:space="preserve"> para rotulador </w:t>
            </w:r>
            <w:proofErr w:type="spellStart"/>
            <w:r w:rsidRPr="00604E8E">
              <w:rPr>
                <w:rFonts w:asciiTheme="minorHAnsi" w:eastAsiaTheme="minorHAnsi" w:hAnsiTheme="minorHAnsi" w:cstheme="minorBidi"/>
                <w:sz w:val="22"/>
                <w:szCs w:val="22"/>
              </w:rPr>
              <w:t>brother</w:t>
            </w:r>
            <w:proofErr w:type="spellEnd"/>
            <w:r w:rsidRPr="00604E8E">
              <w:rPr>
                <w:rFonts w:asciiTheme="minorHAnsi" w:eastAsiaTheme="minorHAnsi" w:hAnsiTheme="minorHAnsi" w:cstheme="minorBidi"/>
                <w:sz w:val="22"/>
                <w:szCs w:val="22"/>
              </w:rPr>
              <w:t> PT-2470</w:t>
            </w:r>
          </w:p>
          <w:p w14:paraId="0E43B9C3" w14:textId="3B6A637E" w:rsidR="00604E8E" w:rsidRPr="00547224" w:rsidRDefault="00604E8E" w:rsidP="00604E8E">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r>
              <w:rPr>
                <w:noProof/>
              </w:rPr>
              <w:lastRenderedPageBreak/>
              <w:drawing>
                <wp:inline distT="0" distB="0" distL="0" distR="0" wp14:anchorId="5A9D48F9" wp14:editId="4F89F449">
                  <wp:extent cx="1879831" cy="1697182"/>
                  <wp:effectExtent l="0" t="0" r="6350" b="0"/>
                  <wp:docPr id="8815106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44" b="17610"/>
                          <a:stretch/>
                        </pic:blipFill>
                        <pic:spPr bwMode="auto">
                          <a:xfrm>
                            <a:off x="0" y="0"/>
                            <a:ext cx="1884924" cy="17017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32CA1" w:rsidRPr="00AC5FB5" w14:paraId="3485600E" w14:textId="77777777" w:rsidTr="000D4B6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7ED22" w14:textId="79352EDA" w:rsidR="00332CA1"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80EDD2" w14:textId="3921EE31" w:rsidR="00332CA1" w:rsidRPr="002E6819" w:rsidRDefault="00B37351" w:rsidP="005519B3">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PILAS RECARGABLES AA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0305B2B" w14:textId="37BC38CF" w:rsidR="00332CA1" w:rsidRDefault="00B3735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265E35" w14:textId="11BC926F" w:rsidR="00332CA1" w:rsidRDefault="000E77F5"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F8EC13" w14:textId="2BDF679B" w:rsidR="00332CA1" w:rsidRDefault="00332CA1" w:rsidP="00D96057">
            <w:pPr>
              <w:pStyle w:val="hpe-more-informationlist-item"/>
              <w:shd w:val="clear" w:color="auto" w:fill="F6F6F6"/>
              <w:ind w:left="2481" w:hanging="2055"/>
              <w:contextualSpacing/>
              <w:jc w:val="center"/>
              <w:rPr>
                <w:rFonts w:asciiTheme="minorHAnsi" w:hAnsiTheme="minorHAnsi" w:cstheme="minorHAnsi"/>
                <w:b/>
                <w:bCs/>
                <w:color w:val="000000"/>
                <w:sz w:val="16"/>
                <w:szCs w:val="16"/>
              </w:rPr>
            </w:pP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67846">
            <w:pPr>
              <w:spacing w:after="0" w:line="240" w:lineRule="auto"/>
              <w:ind w:left="210" w:hanging="143"/>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D67846">
            <w:pPr>
              <w:spacing w:after="0" w:line="240" w:lineRule="auto"/>
              <w:ind w:left="352" w:right="71"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1227"/>
              <w:gridCol w:w="1672"/>
            </w:tblGrid>
            <w:tr w:rsidR="00C149D8" w:rsidRPr="00AC5FB5" w14:paraId="381045F2" w14:textId="77777777" w:rsidTr="00D67846">
              <w:trPr>
                <w:cantSplit/>
                <w:trHeight w:val="436"/>
                <w:jc w:val="center"/>
              </w:trPr>
              <w:tc>
                <w:tcPr>
                  <w:tcW w:w="1227"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1672"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D67846">
              <w:trPr>
                <w:cantSplit/>
                <w:trHeight w:val="226"/>
                <w:jc w:val="center"/>
              </w:trPr>
              <w:tc>
                <w:tcPr>
                  <w:tcW w:w="1227"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1672"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19BFA" w14:textId="77777777" w:rsidR="00E00D6F" w:rsidRDefault="00E00D6F" w:rsidP="008C6921">
      <w:pPr>
        <w:spacing w:after="0" w:line="240" w:lineRule="auto"/>
      </w:pPr>
      <w:r>
        <w:separator/>
      </w:r>
    </w:p>
  </w:endnote>
  <w:endnote w:type="continuationSeparator" w:id="0">
    <w:p w14:paraId="4FD0D554" w14:textId="77777777" w:rsidR="00E00D6F" w:rsidRDefault="00E00D6F"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panose1 w:val="020A0402060406010301"/>
    <w:charset w:val="00"/>
    <w:family w:val="roman"/>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02E45" w14:textId="77777777" w:rsidR="00E00D6F" w:rsidRDefault="00E00D6F" w:rsidP="008C6921">
      <w:pPr>
        <w:spacing w:after="0" w:line="240" w:lineRule="auto"/>
      </w:pPr>
      <w:r>
        <w:separator/>
      </w:r>
    </w:p>
  </w:footnote>
  <w:footnote w:type="continuationSeparator" w:id="0">
    <w:p w14:paraId="2963CCC4" w14:textId="77777777" w:rsidR="00E00D6F" w:rsidRDefault="00E00D6F"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5CB3"/>
    <w:rsid w:val="000D4B60"/>
    <w:rsid w:val="000E77F5"/>
    <w:rsid w:val="00120835"/>
    <w:rsid w:val="00126FE8"/>
    <w:rsid w:val="00145539"/>
    <w:rsid w:val="001A7DB5"/>
    <w:rsid w:val="001C1215"/>
    <w:rsid w:val="00235C5E"/>
    <w:rsid w:val="0029279B"/>
    <w:rsid w:val="002B0140"/>
    <w:rsid w:val="002E6819"/>
    <w:rsid w:val="00332CA1"/>
    <w:rsid w:val="0034790A"/>
    <w:rsid w:val="00366035"/>
    <w:rsid w:val="00386855"/>
    <w:rsid w:val="003A09B9"/>
    <w:rsid w:val="003B4128"/>
    <w:rsid w:val="004274C3"/>
    <w:rsid w:val="00465577"/>
    <w:rsid w:val="0047001B"/>
    <w:rsid w:val="00490F39"/>
    <w:rsid w:val="004C1972"/>
    <w:rsid w:val="004E6687"/>
    <w:rsid w:val="005126E2"/>
    <w:rsid w:val="005315BE"/>
    <w:rsid w:val="0053163F"/>
    <w:rsid w:val="00547224"/>
    <w:rsid w:val="005519B3"/>
    <w:rsid w:val="00604E8E"/>
    <w:rsid w:val="00640F72"/>
    <w:rsid w:val="00694911"/>
    <w:rsid w:val="007210F4"/>
    <w:rsid w:val="00724EEE"/>
    <w:rsid w:val="007473CD"/>
    <w:rsid w:val="0075116A"/>
    <w:rsid w:val="007833B3"/>
    <w:rsid w:val="00791354"/>
    <w:rsid w:val="007B49B0"/>
    <w:rsid w:val="007B7628"/>
    <w:rsid w:val="007C0C10"/>
    <w:rsid w:val="007F25D2"/>
    <w:rsid w:val="00800E10"/>
    <w:rsid w:val="0082198A"/>
    <w:rsid w:val="008C6921"/>
    <w:rsid w:val="008F2598"/>
    <w:rsid w:val="00932F7D"/>
    <w:rsid w:val="00960136"/>
    <w:rsid w:val="00980B85"/>
    <w:rsid w:val="009950AA"/>
    <w:rsid w:val="009B0471"/>
    <w:rsid w:val="009B33BB"/>
    <w:rsid w:val="00A47DB2"/>
    <w:rsid w:val="00A546A7"/>
    <w:rsid w:val="00A90054"/>
    <w:rsid w:val="00AA495C"/>
    <w:rsid w:val="00AF2B75"/>
    <w:rsid w:val="00B01FED"/>
    <w:rsid w:val="00B37351"/>
    <w:rsid w:val="00B4291D"/>
    <w:rsid w:val="00BD5388"/>
    <w:rsid w:val="00C07078"/>
    <w:rsid w:val="00C149D8"/>
    <w:rsid w:val="00C41CC6"/>
    <w:rsid w:val="00CA697D"/>
    <w:rsid w:val="00CD4337"/>
    <w:rsid w:val="00CF0D76"/>
    <w:rsid w:val="00CF124B"/>
    <w:rsid w:val="00D00273"/>
    <w:rsid w:val="00D05F22"/>
    <w:rsid w:val="00D06CE1"/>
    <w:rsid w:val="00D65C43"/>
    <w:rsid w:val="00D67846"/>
    <w:rsid w:val="00D72324"/>
    <w:rsid w:val="00D75C0C"/>
    <w:rsid w:val="00D77A84"/>
    <w:rsid w:val="00D843CC"/>
    <w:rsid w:val="00D96057"/>
    <w:rsid w:val="00D968B3"/>
    <w:rsid w:val="00DE5D2B"/>
    <w:rsid w:val="00E00D6F"/>
    <w:rsid w:val="00E03364"/>
    <w:rsid w:val="00E7343E"/>
    <w:rsid w:val="00EB1574"/>
    <w:rsid w:val="00F035F9"/>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2051</Words>
  <Characters>11284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7</cp:revision>
  <cp:lastPrinted>2024-01-09T20:58:00Z</cp:lastPrinted>
  <dcterms:created xsi:type="dcterms:W3CDTF">2024-02-14T13:52:00Z</dcterms:created>
  <dcterms:modified xsi:type="dcterms:W3CDTF">2024-02-14T15:45:00Z</dcterms:modified>
</cp:coreProperties>
</file>