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72"/>
          <w:szCs w:val="72"/>
        </w:rPr>
        <w:t xml:space="preserve">CodeMarker</w:t>
      </w:r>
    </w:p>
    <w:p>
      <w:pPr>
        <w:spacing w:before="0" w:after="400"/>
        <w:jc w:val="center"/>
      </w:pPr>
      <w:r>
        <w:rPr>
          <w:rFonts w:ascii="Arial" w:cs="Arial" w:eastAsia="Arial" w:hAnsi="Arial"/>
          <w:color w:val="2E5E99"/>
          <w:sz w:val="32"/>
          <w:szCs w:val="32"/>
        </w:rPr>
        <w:t xml:space="preserve">Análise Aprofundada do Relatório de Pesquisa</w:t>
      </w:r>
    </w:p>
    <w:p>
      <w:pPr>
        <w:spacing w:before="0" w:after="200"/>
        <w:jc w:val="center"/>
      </w:pPr>
      <w:r>
        <w:rPr>
          <w:rFonts w:ascii="Arial" w:cs="Arial" w:eastAsia="Arial" w:hAnsi="Arial"/>
          <w:color w:val="666666"/>
          <w:sz w:val="26"/>
          <w:szCs w:val="26"/>
        </w:rPr>
        <w:t xml:space="preserve">Complemento de Implicações de Produto</w:t>
      </w:r>
    </w:p>
    <w:p>
      <w:pPr>
        <w:spacing w:before="600" w:after="100"/>
        <w:jc w:val="center"/>
      </w:pPr>
      <w:r>
        <w:rPr>
          <w:rFonts w:ascii="Arial" w:cs="Arial" w:eastAsia="Arial" w:hAnsi="Arial"/>
          <w:color w:val="888888"/>
          <w:sz w:val="20"/>
          <w:szCs w:val="20"/>
        </w:rPr>
        <w:t xml:space="preserve">Participantes: Dr. Nia Okonkwo · Prof. Lucas Yamamoto</w:t>
      </w:r>
    </w:p>
    <w:p>
      <w:pPr>
        <w:spacing w:before="0" w:after="100"/>
        <w:jc w:val="center"/>
      </w:pPr>
      <w:r>
        <w:rPr>
          <w:rFonts w:ascii="Arial" w:cs="Arial" w:eastAsia="Arial" w:hAnsi="Arial"/>
          <w:color w:val="888888"/>
          <w:sz w:val="20"/>
          <w:szCs w:val="20"/>
        </w:rPr>
        <w:t xml:space="preserve">Método: Entrevistas com Usuários Sintéticos</w:t>
      </w:r>
    </w:p>
    <w:p>
      <w:pPr>
        <w:spacing w:before="0" w:after="0"/>
        <w:jc w:val="center"/>
      </w:pPr>
      <w:r>
        <w:rPr>
          <w:rFonts w:ascii="Arial" w:cs="Arial" w:eastAsia="Arial" w:hAnsi="Arial"/>
          <w:color w:val="888888"/>
          <w:sz w:val="20"/>
          <w:szCs w:val="20"/>
        </w:rPr>
        <w:t xml:space="preserve">Fevereiro 2026</w:t>
      </w:r>
    </w:p>
    <w:p>
      <w:r>
        <w:br w:type="page"/>
      </w:r>
    </w:p>
    <w:p>
      <w:pPr>
        <w:pStyle w:val="Heading1"/>
        <w:spacing w:before="400" w:after="200"/>
      </w:pPr>
      <w:r>
        <w:rPr>
          <w:rFonts w:ascii="Arial" w:cs="Arial" w:eastAsia="Arial" w:hAnsi="Arial"/>
          <w:b/>
          <w:bCs/>
          <w:color w:val="1F3864"/>
          <w:sz w:val="32"/>
          <w:szCs w:val="32"/>
        </w:rPr>
        <w:t xml:space="preserve">Parte 1 — Análise Crítica do Relatório Gerado</w:t>
      </w:r>
    </w:p>
    <w:p>
      <w:pPr>
        <w:spacing w:before="80" w:after="120"/>
      </w:pPr>
      <w:r>
        <w:rPr>
          <w:rFonts w:ascii="Arial" w:cs="Arial" w:eastAsia="Arial" w:hAnsi="Arial"/>
          <w:sz w:val="22"/>
          <w:szCs w:val="22"/>
        </w:rPr>
        <w:t xml:space="preserve">O relatório produzido pela plataforma de usuários sintéticos apresenta boa cobertura temática e síntese de padrões, mas deixa lacunas importantes quando analisado como insumo para decisões de produto. Esta seção avalia o que foi bem capturado, o que ficou distorcido e o que está ausente.</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1.1 O que o relatório capturou bem</w:t>
      </w:r>
    </w:p>
    <w:p>
      <w:pPr>
        <w:pStyle w:val="Heading3"/>
        <w:spacing w:before="200" w:after="100"/>
      </w:pPr>
      <w:r>
        <w:rPr>
          <w:rFonts w:ascii="Arial" w:cs="Arial" w:eastAsia="Arial" w:hAnsi="Arial"/>
          <w:b/>
          <w:bCs/>
          <w:color w:val="404040"/>
          <w:sz w:val="22"/>
          <w:szCs w:val="22"/>
        </w:rPr>
        <w:t xml:space="preserve">O posicionamento como complemento, não substituto</w:t>
      </w:r>
    </w:p>
    <w:p>
      <w:pPr>
        <w:spacing w:before="80" w:after="120"/>
      </w:pPr>
      <w:r>
        <w:rPr>
          <w:rFonts w:ascii="Arial" w:cs="Arial" w:eastAsia="Arial" w:hAnsi="Arial"/>
          <w:sz w:val="22"/>
          <w:szCs w:val="22"/>
        </w:rPr>
        <w:t xml:space="preserve">O relatório articulou com precisão que o CodeMarker deve ser percebido como ferramenta de síntese que complementa o Atlas.ti e o MAXQDA, não os substitui. Essa distinção emergiu de forma consistente nos dois participantes e o relatório a preservou adequadamente. A metáfora central da Nia — 'In Atlas.ti, I'm managing the project. In Obsidian, I'm just thinking with the data' — sintetiza o posicionamento com mais precisão do que qualquer copy que poderia ser escrito externamente.</w:t>
      </w:r>
    </w:p>
    <w:p>
      <w:pPr>
        <w:pStyle w:val="Heading3"/>
        <w:spacing w:before="200" w:after="100"/>
      </w:pPr>
      <w:r>
        <w:rPr>
          <w:rFonts w:ascii="Arial" w:cs="Arial" w:eastAsia="Arial" w:hAnsi="Arial"/>
          <w:b/>
          <w:bCs/>
          <w:color w:val="404040"/>
          <w:sz w:val="22"/>
          <w:szCs w:val="22"/>
        </w:rPr>
        <w:t xml:space="preserve">A mecânica do 'átomo soberano'</w:t>
      </w:r>
    </w:p>
    <w:p>
      <w:pPr>
        <w:spacing w:before="80" w:after="120"/>
      </w:pPr>
      <w:r>
        <w:rPr>
          <w:rFonts w:ascii="Arial" w:cs="Arial" w:eastAsia="Arial" w:hAnsi="Arial"/>
          <w:sz w:val="22"/>
          <w:szCs w:val="22"/>
        </w:rPr>
        <w:t xml:space="preserve">O conceito de excerpt como nó independente e linkável no grafo do Obsidian foi bem desenvolvido nas seções sobre mecanismos de insight. O relatório entendeu corretamente que o valor não está na marcação em si, mas na possibilidade de que o fragmento marcado ganhe existência própria no vault — com links, memos e relações com outras notas.</w:t>
      </w:r>
    </w:p>
    <w:p>
      <w:pPr>
        <w:pStyle w:val="Heading3"/>
        <w:spacing w:before="200" w:after="100"/>
      </w:pPr>
      <w:r>
        <w:rPr>
          <w:rFonts w:ascii="Arial" w:cs="Arial" w:eastAsia="Arial" w:hAnsi="Arial"/>
          <w:b/>
          <w:bCs/>
          <w:color w:val="404040"/>
          <w:sz w:val="22"/>
          <w:szCs w:val="22"/>
        </w:rPr>
        <w:t xml:space="preserve">A dor de captura fora do fluxo</w:t>
      </w:r>
    </w:p>
    <w:p>
      <w:pPr>
        <w:spacing w:before="80" w:after="120"/>
      </w:pPr>
      <w:r>
        <w:rPr>
          <w:rFonts w:ascii="Arial" w:cs="Arial" w:eastAsia="Arial" w:hAnsi="Arial"/>
          <w:sz w:val="22"/>
          <w:szCs w:val="22"/>
        </w:rPr>
        <w:t xml:space="preserve">A seção sobre mecanismos de insight development capturou adequadamente a frustração do Lucas com a perda de insights por atrito de troca de ferramenta. A sequência 'insight surge → preciso mudar de app → continuo codificando → insight some' foi bem documentada e conectada ao valor de captura in-context.</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1.2 O que ficou distorcido ou superficial</w:t>
      </w:r>
    </w:p>
    <w:p>
      <w:pPr>
        <w:pStyle w:val="Heading3"/>
        <w:spacing w:before="200" w:after="100"/>
      </w:pPr>
      <w:r>
        <w:rPr>
          <w:rFonts w:ascii="Arial" w:cs="Arial" w:eastAsia="Arial" w:hAnsi="Arial"/>
          <w:b/>
          <w:bCs/>
          <w:color w:val="404040"/>
          <w:sz w:val="22"/>
          <w:szCs w:val="22"/>
        </w:rPr>
        <w:t xml:space="preserve">Cross-cultural coding recebeu espaço desproporcional</w:t>
      </w:r>
    </w:p>
    <w:p>
      <w:pPr>
        <w:spacing w:before="80" w:after="120"/>
      </w:pPr>
      <w:r>
        <w:rPr>
          <w:rFonts w:ascii="Arial" w:cs="Arial" w:eastAsia="Arial" w:hAnsi="Arial"/>
          <w:sz w:val="22"/>
          <w:szCs w:val="22"/>
        </w:rPr>
        <w:t xml:space="preserve">Duas das oito seções do relatório tratam de viés cultural e codificação cross-cultural. Esse tema emergiu principalmente da história pessoal do Lucas sobre seus papers anteriores — que era revelador como contexto do participante, mas tangencial ao produto. O relatório tratou esse material como insight de produto quando é, na verdade, background do pesquisador. Para fins de desenvolvimento do CodeMarker, a seção poderia ser reduzida a uma nota sobre a necessidade de provenance e audit trail, sem as duas seções dedicadas.</w:t>
      </w:r>
    </w:p>
    <w:p>
      <w:pPr>
        <w:pStyle w:val="Heading3"/>
        <w:spacing w:before="200" w:after="100"/>
      </w:pPr>
      <w:r>
        <w:rPr>
          <w:rFonts w:ascii="Arial" w:cs="Arial" w:eastAsia="Arial" w:hAnsi="Arial"/>
          <w:b/>
          <w:bCs/>
          <w:color w:val="404040"/>
          <w:sz w:val="22"/>
          <w:szCs w:val="22"/>
        </w:rPr>
        <w:t xml:space="preserve">Integração multimodal foi apresentada como prioridade quando é roadmap futuro</w:t>
      </w:r>
    </w:p>
    <w:p>
      <w:pPr>
        <w:spacing w:before="80" w:after="120"/>
      </w:pPr>
      <w:r>
        <w:rPr>
          <w:rFonts w:ascii="Arial" w:cs="Arial" w:eastAsia="Arial" w:hAnsi="Arial"/>
          <w:sz w:val="22"/>
          <w:szCs w:val="22"/>
        </w:rPr>
        <w:t xml:space="preserve">A seção sobre integração de áudio, vídeo e imagens ocupou espaço significativo, mas nenhum dos dois participantes demonstrou dor aguda nesse ponto durante a sessão. O tema foi introduzido como pergunta sobre visão futura — e o entusiasmo dos participantes é esperado em qualquer pergunta sobre feature desejada. O relatório não distinguiu entre 'dor ativa validada' e 'desejo de roadmap', o que pode distorcer prioridades de desenvolvimento.</w:t>
      </w:r>
    </w:p>
    <w:p>
      <w:pPr>
        <w:pStyle w:val="Heading3"/>
        <w:spacing w:before="200" w:after="100"/>
      </w:pPr>
      <w:r>
        <w:rPr>
          <w:rFonts w:ascii="Arial" w:cs="Arial" w:eastAsia="Arial" w:hAnsi="Arial"/>
          <w:b/>
          <w:bCs/>
          <w:color w:val="404040"/>
          <w:sz w:val="22"/>
          <w:szCs w:val="22"/>
        </w:rPr>
        <w:t xml:space="preserve">As quotes selecionadas não são as mais fortes</w:t>
      </w:r>
    </w:p>
    <w:p>
      <w:pPr>
        <w:spacing w:before="80" w:after="120"/>
      </w:pPr>
      <w:r>
        <w:rPr>
          <w:rFonts w:ascii="Arial" w:cs="Arial" w:eastAsia="Arial" w:hAnsi="Arial"/>
          <w:sz w:val="22"/>
          <w:szCs w:val="22"/>
        </w:rPr>
        <w:t xml:space="preserve">O relatório selecionou quotes razoáveis, mas deixou de fora as mais estratégicas da sessão. 'É tipo tentar pegar água com as mãos' (Lucas, sobre perder insights) é mais poderosa do que qualquer quote selecionada. 'Force multiplier for my intellectual output' (Nia, sobre o valor do CodeMarker) é o posicionamento do produto escrito pelo próprio usuário e não aparece em lugar algum no relatório.</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1.3 O que está completamente ausente</w:t>
      </w:r>
    </w:p>
    <w:p>
      <w:pPr>
        <w:pStyle w:val="Heading3"/>
        <w:spacing w:before="200" w:after="100"/>
      </w:pPr>
      <w:r>
        <w:rPr>
          <w:rFonts w:ascii="Arial" w:cs="Arial" w:eastAsia="Arial" w:hAnsi="Arial"/>
          <w:b/>
          <w:bCs/>
          <w:color w:val="404040"/>
          <w:sz w:val="22"/>
          <w:szCs w:val="22"/>
        </w:rPr>
        <w:t xml:space="preserve">Gestão de codebook — a seção mais rica da sessão</w:t>
      </w:r>
    </w:p>
    <w:p>
      <w:pPr>
        <w:spacing w:before="80" w:after="120"/>
      </w:pPr>
      <w:r>
        <w:rPr>
          <w:rFonts w:ascii="Arial" w:cs="Arial" w:eastAsia="Arial" w:hAnsi="Arial"/>
          <w:sz w:val="22"/>
          <w:szCs w:val="22"/>
        </w:rPr>
        <w:t xml:space="preserve">A discussão sobre como os participantes organizam e mantêm seus codebooks foi uma das partes mais densas em insight acionável de toda a sessão, mas não recebeu seção própria no relatório. Os dois participantes revelaram de forma independente que mantêm o codebook em documentos separados da ferramenta de codificação (Word, Obsidian paralelo, planilha, Git), que sofrem com revisões em cascata quando uma definição muda, e que querem rastrear o 'porquê' de um código existir além da sua definição. O Lucas chegou a especificar a feature exata: 'uma ferramenta que automaticamente marcasse os segmentos afetados quando uma definição é alterada'.</w:t>
      </w:r>
    </w:p>
    <w:p>
      <w:pPr>
        <w:pStyle w:val="Heading3"/>
        <w:spacing w:before="200" w:after="100"/>
      </w:pPr>
      <w:r>
        <w:rPr>
          <w:rFonts w:ascii="Arial" w:cs="Arial" w:eastAsia="Arial" w:hAnsi="Arial"/>
          <w:b/>
          <w:bCs/>
          <w:color w:val="404040"/>
          <w:sz w:val="22"/>
          <w:szCs w:val="22"/>
        </w:rPr>
        <w:t xml:space="preserve">Precificação e modelo de adoção</w:t>
      </w:r>
    </w:p>
    <w:p>
      <w:pPr>
        <w:spacing w:before="80" w:after="120"/>
      </w:pPr>
      <w:r>
        <w:rPr>
          <w:rFonts w:ascii="Arial" w:cs="Arial" w:eastAsia="Arial" w:hAnsi="Arial"/>
          <w:sz w:val="22"/>
          <w:szCs w:val="22"/>
        </w:rPr>
        <w:t xml:space="preserve">A Nia chegou espontaneamente a um número de referência (€20-50, compra única) e o Lucas calculou ROI afirmando que o plugin poderia reduzir sua dependência de ferramentas caras. Esses são dados valiosos de pesquisa de mercado que determinam estratégia de go-to-market e não aparecem no relatório.</w:t>
      </w:r>
    </w:p>
    <w:p>
      <w:pPr>
        <w:pStyle w:val="Heading3"/>
        <w:spacing w:before="200" w:after="100"/>
      </w:pPr>
      <w:r>
        <w:rPr>
          <w:rFonts w:ascii="Arial" w:cs="Arial" w:eastAsia="Arial" w:hAnsi="Arial"/>
          <w:b/>
          <w:bCs/>
          <w:color w:val="404040"/>
          <w:sz w:val="22"/>
          <w:szCs w:val="22"/>
        </w:rPr>
        <w:t xml:space="preserve">Respostas abertas de questionário como use case</w:t>
      </w:r>
    </w:p>
    <w:p>
      <w:pPr>
        <w:spacing w:before="80" w:after="120"/>
      </w:pPr>
      <w:r>
        <w:rPr>
          <w:rFonts w:ascii="Arial" w:cs="Arial" w:eastAsia="Arial" w:hAnsi="Arial"/>
          <w:sz w:val="22"/>
          <w:szCs w:val="22"/>
        </w:rPr>
        <w:t xml:space="preserve">A discussão sobre análise de respostas abertas (NPS, CSAT, feedback de clientes) foi explorada no final da sessão e revelou uma dor específica: o 'thin data problem' — textos curtos em volume alto que não têm a densidade semântica necessária para o workflow qualitativo tradicional. A Nia descreveu isso como 'tentar construir uma narrativa complexa com only headlines'. Esse é o use case mais próximo da realidade do desenvolvedor e ficou completamente fora do relatório.</w:t>
      </w:r>
    </w:p>
    <w:p>
      <w:pPr>
        <w:pStyle w:val="Heading3"/>
        <w:spacing w:before="200" w:after="100"/>
      </w:pPr>
      <w:r>
        <w:rPr>
          <w:rFonts w:ascii="Arial" w:cs="Arial" w:eastAsia="Arial" w:hAnsi="Arial"/>
          <w:b/>
          <w:bCs/>
          <w:color w:val="404040"/>
          <w:sz w:val="22"/>
          <w:szCs w:val="22"/>
        </w:rPr>
        <w:t xml:space="preserve">O one-liner de posicionamento dado pelos usuários</w:t>
      </w:r>
    </w:p>
    <w:p>
      <w:pPr>
        <w:spacing w:before="80" w:after="120"/>
      </w:pPr>
      <w:r>
        <w:rPr>
          <w:rFonts w:ascii="Arial" w:cs="Arial" w:eastAsia="Arial" w:hAnsi="Arial"/>
          <w:sz w:val="22"/>
          <w:szCs w:val="22"/>
        </w:rPr>
        <w:t xml:space="preserve">A última pergunta da sessão pediu que cada participante descrevesse o CodeMarker em uma frase. O Lucas produziu: 'É como ter um Atlas.ti dentro do Obsidian — você pode codificar trechos diretamente nas suas notas, ver todos os excerpts de um código lado a lado, e transformar qualquer insight em uma nota independente com um clique.' A Nia produziu: 'O CodeMarker é um plugin que agiliza a síntese e conexão conceitual de dados qualitativos, transformando trechos marcados em notas independentes, sem complicar seus arquivos originais.' Esses são os melhores materiais de copy do produto e não estão registrados em lugar nenhum no relatório.</w:t>
      </w:r>
    </w:p>
    <w:p>
      <w:r>
        <w:br w:type="page"/>
      </w:r>
    </w:p>
    <w:p>
      <w:pPr>
        <w:pStyle w:val="Heading1"/>
        <w:spacing w:before="400" w:after="200"/>
      </w:pPr>
      <w:r>
        <w:rPr>
          <w:rFonts w:ascii="Arial" w:cs="Arial" w:eastAsia="Arial" w:hAnsi="Arial"/>
          <w:b/>
          <w:bCs/>
          <w:color w:val="1F3864"/>
          <w:sz w:val="32"/>
          <w:szCs w:val="32"/>
        </w:rPr>
        <w:t xml:space="preserve">Parte 2 — Complemento: Implicações de Produto</w:t>
      </w:r>
    </w:p>
    <w:p>
      <w:pPr>
        <w:spacing w:before="80" w:after="120"/>
      </w:pPr>
      <w:r>
        <w:rPr>
          <w:rFonts w:ascii="Arial" w:cs="Arial" w:eastAsia="Arial" w:hAnsi="Arial"/>
          <w:sz w:val="22"/>
          <w:szCs w:val="22"/>
        </w:rPr>
        <w:t xml:space="preserve">Esta seção traduz os insights da sessão de pesquisa em direções concretas de produto, organizadas por prioridade de desenvolvimento e validação obtida.</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2.1 Posicionamento validado</w:t>
      </w:r>
    </w:p>
    <w:p>
      <w:pPr>
        <w:spacing w:before="80" w:after="120"/>
      </w:pPr>
      <w:r>
        <w:rPr>
          <w:rFonts w:ascii="Arial" w:cs="Arial" w:eastAsia="Arial" w:hAnsi="Arial"/>
          <w:sz w:val="22"/>
          <w:szCs w:val="22"/>
        </w:rPr>
        <w:t xml:space="preserve">Os dois participantes convergiram espontaneamente para o mesmo frame de posicionamento, sem que o conceito fosse apresentado diretamente:</w:t>
      </w:r>
    </w:p>
    <w:p>
      <w:pPr>
        <w:pBdr>
          <w:left w:val="single" w:color="2E5E99" w:sz="12" w:space="10"/>
        </w:pBdr>
        <w:spacing w:before="160" w:after="160"/>
        <w:ind w:left="720" w:right="720"/>
      </w:pPr>
      <w:r>
        <w:rPr>
          <w:rFonts w:ascii="Arial" w:cs="Arial" w:eastAsia="Arial" w:hAnsi="Arial"/>
          <w:i/>
          <w:iCs/>
          <w:color w:val="444444"/>
          <w:sz w:val="22"/>
          <w:szCs w:val="22"/>
        </w:rPr>
        <w:t xml:space="preserve">"É como ter um Atlas.ti dentro do Obsidian — você codifica trechos diretamente nas suas notas, vê todos os excerpts de um código lado a lado, e transforma qualquer insight em nota independente com um clique."</w:t>
      </w:r>
      <w:r>
        <w:rPr>
          <w:rFonts w:ascii="Arial" w:cs="Arial" w:eastAsia="Arial" w:hAnsi="Arial"/>
          <w:color w:val="888888"/>
          <w:sz w:val="20"/>
          <w:szCs w:val="20"/>
        </w:rPr>
        <w:t xml:space="preserve">  — Prof. Lucas Yamamoto</w:t>
      </w:r>
    </w:p>
    <w:p>
      <w:pPr>
        <w:pBdr>
          <w:left w:val="single" w:color="2E5E99" w:sz="12" w:space="10"/>
        </w:pBdr>
        <w:spacing w:before="160" w:after="160"/>
        <w:ind w:left="720" w:right="720"/>
      </w:pPr>
      <w:r>
        <w:rPr>
          <w:rFonts w:ascii="Arial" w:cs="Arial" w:eastAsia="Arial" w:hAnsi="Arial"/>
          <w:i/>
          <w:iCs/>
          <w:color w:val="444444"/>
          <w:sz w:val="22"/>
          <w:szCs w:val="22"/>
        </w:rPr>
        <w:t xml:space="preserve">"Force multiplier for my intellectual output. It's not trying to compete; it's complementing."</w:t>
      </w:r>
      <w:r>
        <w:rPr>
          <w:rFonts w:ascii="Arial" w:cs="Arial" w:eastAsia="Arial" w:hAnsi="Arial"/>
          <w:color w:val="888888"/>
          <w:sz w:val="20"/>
          <w:szCs w:val="20"/>
        </w:rPr>
        <w:t xml:space="preserve">  — Dr. Nia Okonkwo</w:t>
      </w:r>
    </w:p>
    <w:p>
      <w:pPr>
        <w:spacing w:before="80" w:after="120"/>
      </w:pPr>
      <w:r>
        <w:rPr>
          <w:rFonts w:ascii="Arial" w:cs="Arial" w:eastAsia="Arial" w:hAnsi="Arial"/>
          <w:sz w:val="22"/>
          <w:szCs w:val="22"/>
        </w:rPr>
        <w:t xml:space="preserve">O posicionamento correto é: o CodeMarker não compete com CAQDAS. Ele começa onde o CAQDAS termina — na fase de síntese, conexão conceitual e teorização, que hoje os pesquisadores fazem manualmente no Obsidian ou perdem por atrito de troca de ferramenta.</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2.2 Mapa de features validadas</w:t>
      </w:r>
    </w:p>
    <w:p>
      <w:pPr>
        <w:spacing w:before="80" w:after="120"/>
      </w:pPr>
      <w:r>
        <w:rPr>
          <w:rFonts w:ascii="Arial" w:cs="Arial" w:eastAsia="Arial" w:hAnsi="Arial"/>
          <w:sz w:val="22"/>
          <w:szCs w:val="22"/>
        </w:rPr>
        <w:t xml:space="preserve">A tabela abaixo consolida as features que emergiram da sessão, classificadas por status atual e prioridade de desenvolvimento:</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Marcação de texto inline no documento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Visualização de excerpts por código (sidepanel)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Barras coloridas no margin panel (MAXQDA-style)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Promote to note (excerpt → nota independente)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Parcial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Crítica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65100"/>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 vinculado ao marker (campo de nota)</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Parcial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Crítica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65100"/>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Definição viva do código (def + justificativa + histórico)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Crítica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Sinalização automática de markers afetados por mudança de definição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Crítica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REFI-QDA (.qdpx)</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booleana com filtro por metadado de participante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 viewer com codificação de respostas abertas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Hierarquia de códigos (subcódigos)</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Parcial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Alta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65100"/>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de código com propagação automática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Média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de alterações do codebook</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Média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Matriz de coocorrência</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Média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Inter-coder reliability (Kappa de Cohen)</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Baixa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Integração com timestamps de áudio/vídeo</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Não 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5E99"/>
                <w:sz w:val="20"/>
                <w:szCs w:val="20"/>
              </w:rPr>
              <w:t xml:space="preserve">Baixa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4"/>
                <w:szCs w:val="24"/>
              </w:rPr>
              <w:t xml:space="preserve">✗</w:t>
            </w:r>
          </w:p>
        </w:tc>
      </w:tr>
    </w:tbl>
    <w:p>
      <w:pPr>
        <w:spacing w:before="200" w:after="0"/>
      </w:pP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2.3 Gestão de codebook — spec derivado da pesquisa</w:t>
      </w:r>
    </w:p>
    <w:p>
      <w:pPr>
        <w:spacing w:before="80" w:after="120"/>
      </w:pPr>
      <w:r>
        <w:rPr>
          <w:rFonts w:ascii="Arial" w:cs="Arial" w:eastAsia="Arial" w:hAnsi="Arial"/>
          <w:sz w:val="22"/>
          <w:szCs w:val="22"/>
        </w:rPr>
        <w:t xml:space="preserve">Esta foi a lacuna mais relevante do relatório gerado. Os dois participantes descreveram de forma independente o mesmo problema e chegaram às mesmas soluções. O código no CodeMarker precisa ter três camadas:</w:t>
      </w:r>
    </w:p>
    <w:p>
      <w:pPr>
        <w:spacing w:before="160" w:after="80"/>
      </w:pPr>
      <w:r>
        <w:rPr>
          <w:rFonts w:ascii="Arial" w:cs="Arial" w:eastAsia="Arial" w:hAnsi="Arial"/>
          <w:b/>
          <w:bCs/>
          <w:sz w:val="22"/>
          <w:szCs w:val="22"/>
        </w:rPr>
        <w:t xml:space="preserve">Camada 1 — Definição</w:t>
      </w:r>
    </w:p>
    <w:p>
      <w:pPr>
        <w:spacing w:before="80" w:after="120"/>
      </w:pPr>
      <w:r>
        <w:rPr>
          <w:rFonts w:ascii="Arial" w:cs="Arial" w:eastAsia="Arial" w:hAnsi="Arial"/>
          <w:sz w:val="22"/>
          <w:szCs w:val="22"/>
        </w:rPr>
        <w:t xml:space="preserve">O que o código é. Texto livre com exemplos de inclusão e exclusão. Hoje os pesquisadores mantêm isso no Word ou em nota separada do Obsidian.</w:t>
      </w:r>
    </w:p>
    <w:p>
      <w:pPr>
        <w:spacing w:before="160" w:after="80"/>
      </w:pPr>
      <w:r>
        <w:rPr>
          <w:rFonts w:ascii="Arial" w:cs="Arial" w:eastAsia="Arial" w:hAnsi="Arial"/>
          <w:b/>
          <w:bCs/>
          <w:sz w:val="22"/>
          <w:szCs w:val="22"/>
        </w:rPr>
        <w:t xml:space="preserve">Camada 2 — Justificativa (Rationale)</w:t>
      </w:r>
    </w:p>
    <w:p>
      <w:pPr>
        <w:spacing w:before="80" w:after="120"/>
      </w:pPr>
      <w:r>
        <w:rPr>
          <w:rFonts w:ascii="Arial" w:cs="Arial" w:eastAsia="Arial" w:hAnsi="Arial"/>
          <w:sz w:val="22"/>
          <w:szCs w:val="22"/>
        </w:rPr>
        <w:t xml:space="preserve">Por que o código existe — origem teórica ou empírica. O Lucas tem um campo de 'justificativa' separado da definição. A Nia documenta referências bibliográficas e trechos que catalisaram o código. Os dois identificaram que esse campo frequentemente fica incompleto porque no 'calor da codificação' não há tempo — o que reforça a necessidade de captura de baixo atrito.</w:t>
      </w:r>
    </w:p>
    <w:p>
      <w:pPr>
        <w:spacing w:before="160" w:after="80"/>
      </w:pPr>
      <w:r>
        <w:rPr>
          <w:rFonts w:ascii="Arial" w:cs="Arial" w:eastAsia="Arial" w:hAnsi="Arial"/>
          <w:b/>
          <w:bCs/>
          <w:sz w:val="22"/>
          <w:szCs w:val="22"/>
        </w:rPr>
        <w:t xml:space="preserve">Camada 3 — Histórico de alterações</w:t>
      </w:r>
    </w:p>
    <w:p>
      <w:pPr>
        <w:spacing w:before="80" w:after="120"/>
      </w:pPr>
      <w:r>
        <w:rPr>
          <w:rFonts w:ascii="Arial" w:cs="Arial" w:eastAsia="Arial" w:hAnsi="Arial"/>
          <w:sz w:val="22"/>
          <w:szCs w:val="22"/>
        </w:rPr>
        <w:t xml:space="preserve">O que mudou, quando e por quê. A Nia mantém um 'Journal de Alterações de Código' no Word para trilha de auditoria. O Lucas usa marcadores temporários 'verificar atualização' nos segmentos afetados. Os dois chegaram à mesma feature spec: quando uma definição muda, os markers já codificados devem ser automaticamente sinalizados para revisão.</w:t>
      </w:r>
    </w:p>
    <w:p>
      <w:pPr>
        <w:pBdr>
          <w:left w:val="single" w:color="2E5E99" w:sz="12" w:space="10"/>
        </w:pBdr>
        <w:spacing w:before="160" w:after="160"/>
        <w:ind w:left="720" w:right="720"/>
      </w:pPr>
      <w:r>
        <w:rPr>
          <w:rFonts w:ascii="Arial" w:cs="Arial" w:eastAsia="Arial" w:hAnsi="Arial"/>
          <w:i/>
          <w:iCs/>
          <w:color w:val="444444"/>
          <w:sz w:val="22"/>
          <w:szCs w:val="22"/>
        </w:rPr>
        <w:t xml:space="preserve">"O que eu realmente gostaria é de uma ferramenta que automaticamente marcasse os segmentos afetados quando uma definição é alterada."</w:t>
      </w:r>
      <w:r>
        <w:rPr>
          <w:rFonts w:ascii="Arial" w:cs="Arial" w:eastAsia="Arial" w:hAnsi="Arial"/>
          <w:color w:val="888888"/>
          <w:sz w:val="20"/>
          <w:szCs w:val="20"/>
        </w:rPr>
        <w:t xml:space="preserve">  — Prof. Lucas Yamamoto</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2.4 Promote to note — a feature que fecha o gap com a Nia</w:t>
      </w:r>
    </w:p>
    <w:p>
      <w:pPr>
        <w:spacing w:before="80" w:after="120"/>
      </w:pPr>
      <w:r>
        <w:rPr>
          <w:rFonts w:ascii="Arial" w:cs="Arial" w:eastAsia="Arial" w:hAnsi="Arial"/>
          <w:sz w:val="22"/>
          <w:szCs w:val="22"/>
        </w:rPr>
        <w:t xml:space="preserve">A Nia foi o participante que mais resistiu inicialmente ao conceito do CodeMarker, defendendo que a separação física do excerpt para uma nota nova no vault é parte essencial do seu processo cognitivo. Quando confrontada com a pergunta sobre 'promote to note', respondeu com entusiasmo e articulou o valor melhor do que qualquer briefing interno poderia:</w:t>
      </w:r>
    </w:p>
    <w:p>
      <w:pPr>
        <w:pBdr>
          <w:left w:val="single" w:color="2E5E99" w:sz="12" w:space="10"/>
        </w:pBdr>
        <w:spacing w:before="160" w:after="160"/>
        <w:ind w:left="720" w:right="720"/>
      </w:pPr>
      <w:r>
        <w:rPr>
          <w:rFonts w:ascii="Arial" w:cs="Arial" w:eastAsia="Arial" w:hAnsi="Arial"/>
          <w:i/>
          <w:iCs/>
          <w:color w:val="444444"/>
          <w:sz w:val="22"/>
          <w:szCs w:val="22"/>
        </w:rPr>
        <w:t xml:space="preserve">"By creating an actual new note, it immediately grants that excerpt the status of an independent knowledge atom. It's no longer just a segment in a document view; it's a node in my graph."</w:t>
      </w:r>
      <w:r>
        <w:rPr>
          <w:rFonts w:ascii="Arial" w:cs="Arial" w:eastAsia="Arial" w:hAnsi="Arial"/>
          <w:color w:val="888888"/>
          <w:sz w:val="20"/>
          <w:szCs w:val="20"/>
        </w:rPr>
        <w:t xml:space="preserve">  — Dr. Nia Okonkwo</w:t>
      </w:r>
    </w:p>
    <w:p>
      <w:pPr>
        <w:spacing w:before="80" w:after="120"/>
      </w:pPr>
      <w:r>
        <w:rPr>
          <w:rFonts w:ascii="Arial" w:cs="Arial" w:eastAsia="Arial" w:hAnsi="Arial"/>
          <w:sz w:val="22"/>
          <w:szCs w:val="22"/>
        </w:rPr>
        <w:t xml:space="preserve">O que ela descreveu como blocker (a separação física da cópia) é, na verdade, o que o 'promote to note' entrega — automaticamente, com provenance preenchida, sem o trabalho manual que ela faz hoje. A feature não elimina o salto cognitivo que ela valoriza: elimina o trabalho mecânico que antecede esse salto.</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2.5 O spec do memo segundo o Lucas</w:t>
      </w:r>
    </w:p>
    <w:p>
      <w:pPr>
        <w:spacing w:before="80" w:after="120"/>
      </w:pPr>
      <w:r>
        <w:rPr>
          <w:rFonts w:ascii="Arial" w:cs="Arial" w:eastAsia="Arial" w:hAnsi="Arial"/>
          <w:sz w:val="22"/>
          <w:szCs w:val="22"/>
        </w:rPr>
        <w:t xml:space="preserve">Quando perguntado o que precisaria estar numa captura de insight para ser útil depois, o Lucas entregou uma lista que funciona como especificação do campo de memo:</w:t>
      </w:r>
    </w:p>
    <w:p>
      <w:pPr>
        <w:pStyle w:val="ListParagraph"/>
        <w:numPr>
          <w:ilvl w:val="0"/>
          <w:numId w:val="2"/>
        </w:numPr>
        <w:spacing w:before="60" w:after="60"/>
      </w:pPr>
      <w:r>
        <w:rPr>
          <w:rFonts w:ascii="Arial" w:cs="Arial" w:eastAsia="Arial" w:hAnsi="Arial"/>
          <w:sz w:val="22"/>
          <w:szCs w:val="22"/>
        </w:rPr>
        <w:t xml:space="preserve">Contexto rápido — 1 a 2 frases explicando o que levou ao insight</w:t>
      </w:r>
    </w:p>
    <w:p>
      <w:pPr>
        <w:pStyle w:val="ListParagraph"/>
        <w:numPr>
          <w:ilvl w:val="0"/>
          <w:numId w:val="2"/>
        </w:numPr>
        <w:spacing w:before="60" w:after="60"/>
      </w:pPr>
      <w:r>
        <w:rPr>
          <w:rFonts w:ascii="Arial" w:cs="Arial" w:eastAsia="Arial" w:hAnsi="Arial"/>
          <w:sz w:val="22"/>
          <w:szCs w:val="22"/>
        </w:rPr>
        <w:t xml:space="preserve">Palavras-chave — tags que encapsulam o conceito principal</w:t>
      </w:r>
    </w:p>
    <w:p>
      <w:pPr>
        <w:pStyle w:val="ListParagraph"/>
        <w:numPr>
          <w:ilvl w:val="0"/>
          <w:numId w:val="2"/>
        </w:numPr>
        <w:spacing w:before="60" w:after="60"/>
      </w:pPr>
      <w:r>
        <w:rPr>
          <w:rFonts w:ascii="Arial" w:cs="Arial" w:eastAsia="Arial" w:hAnsi="Arial"/>
          <w:sz w:val="22"/>
          <w:szCs w:val="22"/>
        </w:rPr>
        <w:t xml:space="preserve">Data e referência ao projeto — rastreabilidade temporal e de origem</w:t>
      </w:r>
    </w:p>
    <w:p>
      <w:pPr>
        <w:pStyle w:val="ListParagraph"/>
        <w:numPr>
          <w:ilvl w:val="0"/>
          <w:numId w:val="2"/>
        </w:numPr>
        <w:spacing w:before="60" w:after="60"/>
      </w:pPr>
      <w:r>
        <w:rPr>
          <w:rFonts w:ascii="Arial" w:cs="Arial" w:eastAsia="Arial" w:hAnsi="Arial"/>
          <w:sz w:val="22"/>
          <w:szCs w:val="22"/>
        </w:rPr>
        <w:t xml:space="preserve">Link para o segmento — referência direta ao trecho que gerou o insight</w:t>
      </w:r>
    </w:p>
    <w:p>
      <w:pPr>
        <w:pStyle w:val="ListParagraph"/>
        <w:numPr>
          <w:ilvl w:val="0"/>
          <w:numId w:val="2"/>
        </w:numPr>
        <w:spacing w:before="60" w:after="60"/>
      </w:pPr>
      <w:r>
        <w:rPr>
          <w:rFonts w:ascii="Arial" w:cs="Arial" w:eastAsia="Arial" w:hAnsi="Arial"/>
          <w:sz w:val="22"/>
          <w:szCs w:val="22"/>
        </w:rPr>
        <w:t xml:space="preserve">Reflexão pessoal — separado da descrição do dado: 'por que isso me parece importante'</w:t>
      </w:r>
    </w:p>
    <w:p>
      <w:pPr>
        <w:spacing w:before="80" w:after="120"/>
      </w:pPr>
      <w:r>
        <w:rPr>
          <w:rFonts w:ascii="Arial" w:cs="Arial" w:eastAsia="Arial" w:hAnsi="Arial"/>
          <w:sz w:val="22"/>
          <w:szCs w:val="22"/>
        </w:rPr>
        <w:t xml:space="preserve">O item 5 é o mais relevante. Ele está sinalizando que o memo precisa distinguir entre anotação descritiva ('o que está acontecendo no dado') e anotação interpretativa ('o que eu estou pensando sobre isso'). Pode ser um campo único com essa orientação ou dois campos separados.</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2.6 REFI-QDA — o unlock para adoção séria</w:t>
      </w:r>
    </w:p>
    <w:p>
      <w:pPr>
        <w:spacing w:before="80" w:after="120"/>
      </w:pPr>
      <w:r>
        <w:rPr>
          <w:rFonts w:ascii="Arial" w:cs="Arial" w:eastAsia="Arial" w:hAnsi="Arial"/>
          <w:sz w:val="22"/>
          <w:szCs w:val="22"/>
        </w:rPr>
        <w:t xml:space="preserve">O suporte ao padrão REFI-QDA (.qdpx) foi a feature que recebeu validação mais entusiasmada de ambos os participantes — e de forma independente, em momentos diferentes da sessão. O que cada um valoriza no formato:</w:t>
      </w:r>
    </w:p>
    <w:p>
      <w:pPr>
        <w:spacing w:before="160" w:after="80"/>
      </w:pPr>
      <w:r>
        <w:rPr>
          <w:rFonts w:ascii="Arial" w:cs="Arial" w:eastAsia="Arial" w:hAnsi="Arial"/>
          <w:b/>
          <w:bCs/>
          <w:sz w:val="22"/>
          <w:szCs w:val="22"/>
        </w:rPr>
        <w:t xml:space="preserve">Nia:</w:t>
      </w:r>
    </w:p>
    <w:p>
      <w:pPr>
        <w:spacing w:before="80" w:after="120"/>
      </w:pPr>
      <w:r>
        <w:rPr>
          <w:rFonts w:ascii="Arial" w:cs="Arial" w:eastAsia="Arial" w:hAnsi="Arial"/>
          <w:sz w:val="22"/>
          <w:szCs w:val="22"/>
        </w:rPr>
        <w:t xml:space="preserve">Elimina lock-in. Permite começar no CodeMarker e terminar no Atlas.ti (ou vice-versa) sem perder estrutura de códigos e markers. Facilita colaboração com pesquisadores que dependem de CAQDAS para análise sistemática e relatórios formais.</w:t>
      </w:r>
    </w:p>
    <w:p>
      <w:pPr>
        <w:spacing w:before="160" w:after="80"/>
      </w:pPr>
      <w:r>
        <w:rPr>
          <w:rFonts w:ascii="Arial" w:cs="Arial" w:eastAsia="Arial" w:hAnsi="Arial"/>
          <w:b/>
          <w:bCs/>
          <w:sz w:val="22"/>
          <w:szCs w:val="22"/>
        </w:rPr>
        <w:t xml:space="preserve">Lucas:</w:t>
      </w:r>
    </w:p>
    <w:p>
      <w:pPr>
        <w:spacing w:before="80" w:after="120"/>
      </w:pPr>
      <w:r>
        <w:rPr>
          <w:rFonts w:ascii="Arial" w:cs="Arial" w:eastAsia="Arial" w:hAnsi="Arial"/>
          <w:sz w:val="22"/>
          <w:szCs w:val="22"/>
        </w:rPr>
        <w:t xml:space="preserve">'Todo mundo ama mais flexibilidade sem perder controle ou dados no processo.' Viabiliza colaborações internacionais onde diferentes labs usam diferentes ferramentas. E transforma o aprendizado do plugin num investimento de baixo risco: se o projeto crescer e precisar de features que o CodeMarker não tem, a saída existe.</w:t>
      </w:r>
    </w:p>
    <w:p>
      <w:pPr>
        <w:pBdr>
          <w:left w:val="single" w:color="2E5E99" w:sz="12" w:space="10"/>
        </w:pBdr>
        <w:spacing w:before="160" w:after="160"/>
        <w:ind w:left="720" w:right="720"/>
      </w:pPr>
      <w:r>
        <w:rPr>
          <w:rFonts w:ascii="Arial" w:cs="Arial" w:eastAsia="Arial" w:hAnsi="Arial"/>
          <w:i/>
          <w:iCs/>
          <w:color w:val="444444"/>
          <w:sz w:val="22"/>
          <w:szCs w:val="22"/>
        </w:rPr>
        <w:t xml:space="preserve">"Com um formato aberto como o REFI-QDA, eu teria confiança de que o investimento no aprendizado e uso desse sistema vale o esforço."</w:t>
      </w:r>
      <w:r>
        <w:rPr>
          <w:rFonts w:ascii="Arial" w:cs="Arial" w:eastAsia="Arial" w:hAnsi="Arial"/>
          <w:color w:val="888888"/>
          <w:sz w:val="20"/>
          <w:szCs w:val="20"/>
        </w:rPr>
        <w:t xml:space="preserve">  — Prof. Lucas Yamamoto</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2.7 Respostas abertas de questionário — o use case invisível</w:t>
      </w:r>
    </w:p>
    <w:p>
      <w:pPr>
        <w:spacing w:before="80" w:after="120"/>
      </w:pPr>
      <w:r>
        <w:rPr>
          <w:rFonts w:ascii="Arial" w:cs="Arial" w:eastAsia="Arial" w:hAnsi="Arial"/>
          <w:sz w:val="22"/>
          <w:szCs w:val="22"/>
        </w:rPr>
        <w:t xml:space="preserve">Nenhum dos dois participantes trouxe esse tema espontaneamente, mas quando perguntados, revelaram um problema específico e não resolvido: análise qualitativa de textos curtos em volume alto.</w:t>
      </w:r>
    </w:p>
    <w:p>
      <w:pPr>
        <w:spacing w:before="80" w:after="120"/>
      </w:pPr>
      <w:r>
        <w:rPr>
          <w:rFonts w:ascii="Arial" w:cs="Arial" w:eastAsia="Arial" w:hAnsi="Arial"/>
          <w:sz w:val="22"/>
          <w:szCs w:val="22"/>
        </w:rPr>
        <w:t xml:space="preserve">A Nia nomeou o problema com precisão: 'thin data'. Respostas abertas de NPS e feedback de clientes são fragmentos — às vezes duas palavras, às vezes parágrafos. Não têm a densidade semântica de entrevistas e portanto o workflow qualitativo tradicional não se aplica bem. Ela usa Atlas.ti para codificação inicial e tenta síntese no Obsidian, mas a síntese 'feels incomplete' porque o material de entrada é muito raso.</w:t>
      </w:r>
    </w:p>
    <w:p>
      <w:pPr>
        <w:spacing w:before="80" w:after="120"/>
      </w:pPr>
      <w:r>
        <w:rPr>
          <w:rFonts w:ascii="Arial" w:cs="Arial" w:eastAsia="Arial" w:hAnsi="Arial"/>
          <w:sz w:val="22"/>
          <w:szCs w:val="22"/>
        </w:rPr>
        <w:t xml:space="preserve">O Lucas trata respostas abertas como ponto de partida para métodos qualitativos mais ricos, não como dado final. Quando o volume é alto, abandona o QDA e vai para processamento automático no R.</w:t>
      </w:r>
    </w:p>
    <w:p>
      <w:pPr>
        <w:spacing w:before="80" w:after="120"/>
      </w:pPr>
      <w:r>
        <w:rPr>
          <w:rFonts w:ascii="Arial" w:cs="Arial" w:eastAsia="Arial" w:hAnsi="Arial"/>
          <w:sz w:val="22"/>
          <w:szCs w:val="22"/>
        </w:rPr>
        <w:t xml:space="preserve">O que isso implica para o CodeMarker: um CSV viewer onde cada célula de resposta aberta se torna um segmento codificável — com as colunas do dataset (NPS score, segmento, data) já funcionando como metadados cruzáveis. Isso resolve o problema de thin data porque você pode agregar fragmentos pelo código antes de sintetizar, e o contexto quantitativo (score, segmento) fica disponível na mesma interface.</w:t>
      </w:r>
    </w:p>
    <w:p>
      <w:pPr>
        <w:spacing w:before="80" w:after="120"/>
      </w:pPr>
      <w:r>
        <w:rPr>
          <w:rFonts w:ascii="Arial" w:cs="Arial" w:eastAsia="Arial" w:hAnsi="Arial"/>
          <w:sz w:val="22"/>
          <w:szCs w:val="22"/>
        </w:rPr>
        <w:t xml:space="preserve">Este é o use case com maior proximidade à realidade operacional do desenvolvedor — 5.000 respostas abertas diárias no Smiles. É também o único use case do roadmap que nenhum CAQDAS atual resolve bem.</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2.8 Modelo de precificação derivado da pesquisa</w:t>
      </w:r>
    </w:p>
    <w:p>
      <w:pPr>
        <w:spacing w:before="80" w:after="120"/>
      </w:pPr>
      <w:r>
        <w:rPr>
          <w:rFonts w:ascii="Arial" w:cs="Arial" w:eastAsia="Arial" w:hAnsi="Arial"/>
          <w:sz w:val="22"/>
          <w:szCs w:val="22"/>
        </w:rPr>
        <w:t xml:space="preserve">Nenhuma das perguntas sobre preço foi direta — os dois participantes chegaram espontaneamente a conclusões sobre valor e modelo:</w:t>
      </w:r>
    </w:p>
    <w:p>
      <w:pPr>
        <w:spacing w:before="160" w:after="80"/>
      </w:pPr>
      <w:r>
        <w:rPr>
          <w:rFonts w:ascii="Arial" w:cs="Arial" w:eastAsia="Arial" w:hAnsi="Arial"/>
          <w:b/>
          <w:bCs/>
          <w:sz w:val="22"/>
          <w:szCs w:val="22"/>
        </w:rPr>
        <w:t xml:space="preserve">Nia — benchmark espontâneo:</w:t>
      </w:r>
    </w:p>
    <w:p>
      <w:pPr>
        <w:spacing w:before="80" w:after="120"/>
      </w:pPr>
      <w:r>
        <w:rPr>
          <w:rFonts w:ascii="Arial" w:cs="Arial" w:eastAsia="Arial" w:hAnsi="Arial"/>
          <w:sz w:val="22"/>
          <w:szCs w:val="22"/>
        </w:rPr>
        <w:t xml:space="preserve">€20-50, compra única. Comparou ao modelo típico de plugins Obsidian ('buy me a coffee'). Calculou ROI em termos de horas de trabalho especializado economizadas.</w:t>
      </w:r>
    </w:p>
    <w:p>
      <w:pPr>
        <w:spacing w:before="160" w:after="80"/>
      </w:pPr>
      <w:r>
        <w:rPr>
          <w:rFonts w:ascii="Arial" w:cs="Arial" w:eastAsia="Arial" w:hAnsi="Arial"/>
          <w:b/>
          <w:bCs/>
          <w:sz w:val="22"/>
          <w:szCs w:val="22"/>
        </w:rPr>
        <w:t xml:space="preserve">Lucas — frame de redução de custo:</w:t>
      </w:r>
    </w:p>
    <w:p>
      <w:pPr>
        <w:spacing w:before="80" w:after="120"/>
      </w:pPr>
      <w:r>
        <w:rPr>
          <w:rFonts w:ascii="Arial" w:cs="Arial" w:eastAsia="Arial" w:hAnsi="Arial"/>
          <w:sz w:val="22"/>
          <w:szCs w:val="22"/>
        </w:rPr>
        <w:t xml:space="preserve">Não pensou em 'mais uma assinatura', mas em 'posso reduzir minha dependência do Atlas.ti'. Se o CodeMarker cobre a fase de síntese, talvez precise do Atlas.ti só para análises específicas ou projetos colaborativos. Isso converte o custo do plugin em economia líquida.</w:t>
      </w:r>
    </w:p>
    <w:p>
      <w:pPr>
        <w:spacing w:before="160" w:after="80"/>
      </w:pPr>
      <w:r>
        <w:rPr>
          <w:rFonts w:ascii="Arial" w:cs="Arial" w:eastAsia="Arial" w:hAnsi="Arial"/>
          <w:b/>
          <w:bCs/>
          <w:sz w:val="22"/>
          <w:szCs w:val="22"/>
        </w:rPr>
        <w:t xml:space="preserve">Implicação:</w:t>
      </w:r>
    </w:p>
    <w:p>
      <w:pPr>
        <w:spacing w:before="80" w:after="120"/>
      </w:pPr>
      <w:r>
        <w:rPr>
          <w:rFonts w:ascii="Arial" w:cs="Arial" w:eastAsia="Arial" w:hAnsi="Arial"/>
          <w:sz w:val="22"/>
          <w:szCs w:val="22"/>
        </w:rPr>
        <w:t xml:space="preserve">O modelo correto é compra única, não assinatura. O argumento de venda não é 'pague pelo plugin' mas 'reduza o que você paga pelo Atlas.ti'. Para consultores como o Lucas, há ainda o argumento adicional: poder oferecer análise qualitativa robusta para clientes sem budget para licenças enterprise de CAQDAS.</w:t>
      </w:r>
    </w:p>
    <w:p>
      <w:pPr>
        <w:pBdr>
          <w:bottom w:val="single" w:color="DDDDDD" w:sz="4" w:space="1"/>
        </w:pBdr>
        <w:spacing w:before="200" w:after="200"/>
      </w:pPr>
      <w:r>
        <w:t xml:space="preserve"/>
      </w:r>
    </w:p>
    <w:p>
      <w:pPr>
        <w:pStyle w:val="Heading2"/>
        <w:spacing w:before="300" w:after="150"/>
      </w:pPr>
      <w:r>
        <w:rPr>
          <w:rFonts w:ascii="Arial" w:cs="Arial" w:eastAsia="Arial" w:hAnsi="Arial"/>
          <w:b/>
          <w:bCs/>
          <w:color w:val="2E5E99"/>
          <w:sz w:val="26"/>
          <w:szCs w:val="26"/>
        </w:rPr>
        <w:t xml:space="preserve">2.9 Canal de adoção — o que não é Product Hunt</w:t>
      </w:r>
    </w:p>
    <w:p>
      <w:pPr>
        <w:spacing w:before="80" w:after="120"/>
      </w:pPr>
      <w:r>
        <w:rPr>
          <w:rFonts w:ascii="Arial" w:cs="Arial" w:eastAsia="Arial" w:hAnsi="Arial"/>
          <w:sz w:val="22"/>
          <w:szCs w:val="22"/>
        </w:rPr>
        <w:t xml:space="preserve">O Lucas respondeu diretamente o que precisaria para confiar no plugin o suficiente para usar num projeto real:</w:t>
      </w:r>
    </w:p>
    <w:p>
      <w:pPr>
        <w:pStyle w:val="ListParagraph"/>
        <w:numPr>
          <w:ilvl w:val="0"/>
          <w:numId w:val="2"/>
        </w:numPr>
        <w:spacing w:before="60" w:after="60"/>
      </w:pPr>
      <w:r>
        <w:rPr>
          <w:rFonts w:ascii="Arial" w:cs="Arial" w:eastAsia="Arial" w:hAnsi="Arial"/>
          <w:sz w:val="22"/>
          <w:szCs w:val="22"/>
        </w:rPr>
        <w:t xml:space="preserve">Integração impecável com o Obsidian — zero configuração complexa</w:t>
      </w:r>
    </w:p>
    <w:p>
      <w:pPr>
        <w:pStyle w:val="ListParagraph"/>
        <w:numPr>
          <w:ilvl w:val="0"/>
          <w:numId w:val="2"/>
        </w:numPr>
        <w:spacing w:before="60" w:after="60"/>
      </w:pPr>
      <w:r>
        <w:rPr>
          <w:rFonts w:ascii="Arial" w:cs="Arial" w:eastAsia="Arial" w:hAnsi="Arial"/>
          <w:sz w:val="22"/>
          <w:szCs w:val="22"/>
        </w:rPr>
        <w:t xml:space="preserve">Dados seguros e locais — solução self-hosted ou com controle total</w:t>
      </w:r>
    </w:p>
    <w:p>
      <w:pPr>
        <w:pStyle w:val="ListParagraph"/>
        <w:numPr>
          <w:ilvl w:val="0"/>
          <w:numId w:val="2"/>
        </w:numPr>
        <w:spacing w:before="60" w:after="60"/>
      </w:pPr>
      <w:r>
        <w:rPr>
          <w:rFonts w:ascii="Arial" w:cs="Arial" w:eastAsia="Arial" w:hAnsi="Arial"/>
          <w:sz w:val="22"/>
          <w:szCs w:val="22"/>
        </w:rPr>
        <w:t xml:space="preserve">Curva de aprendizado mínima — a promessa de 'não sair da sessão de codificação' precisa ser real</w:t>
      </w:r>
    </w:p>
    <w:p>
      <w:pPr>
        <w:pStyle w:val="ListParagraph"/>
        <w:numPr>
          <w:ilvl w:val="0"/>
          <w:numId w:val="2"/>
        </w:numPr>
        <w:spacing w:before="60" w:after="60"/>
      </w:pPr>
      <w:r>
        <w:rPr>
          <w:rFonts w:ascii="Arial" w:cs="Arial" w:eastAsia="Arial" w:hAnsi="Arial"/>
          <w:sz w:val="22"/>
          <w:szCs w:val="22"/>
        </w:rPr>
        <w:t xml:space="preserve">Prova social da rede acadêmica — 'a bênção da minha rede'</w:t>
      </w:r>
    </w:p>
    <w:p>
      <w:pPr>
        <w:pStyle w:val="ListParagraph"/>
        <w:numPr>
          <w:ilvl w:val="0"/>
          <w:numId w:val="2"/>
        </w:numPr>
        <w:spacing w:before="60" w:after="60"/>
      </w:pPr>
      <w:r>
        <w:rPr>
          <w:rFonts w:ascii="Arial" w:cs="Arial" w:eastAsia="Arial" w:hAnsi="Arial"/>
          <w:sz w:val="22"/>
          <w:szCs w:val="22"/>
        </w:rPr>
        <w:t xml:space="preserve">Flexibilidade para personalizar campos e estrutura</w:t>
      </w:r>
    </w:p>
    <w:p>
      <w:pPr>
        <w:spacing w:before="80" w:after="120"/>
      </w:pPr>
      <w:r>
        <w:rPr>
          <w:rFonts w:ascii="Arial" w:cs="Arial" w:eastAsia="Arial" w:hAnsi="Arial"/>
          <w:sz w:val="22"/>
          <w:szCs w:val="22"/>
        </w:rPr>
        <w:t xml:space="preserve">O ponto mais estratégico é o quarto: ele não vai adotar por review na loja de plugins. Vai adotar porque alguém que ele respeita usou e falou. Isso define o canal: não é lançamento de produto, é um post num fórum de métodos mistos, uma menção num podcast de pesquisa qualitativa, ou uma demo num workshop acadêmico. Uma pessoa influente na rede certa vale mais do que centenas de downloads orgânicos.</w:t>
      </w:r>
    </w:p>
    <w:p>
      <w:pPr>
        <w:spacing w:before="80" w:after="120"/>
      </w:pPr>
      <w:r>
        <w:rPr>
          <w:rFonts w:ascii="Arial" w:cs="Arial" w:eastAsia="Arial" w:hAnsi="Arial"/>
          <w:sz w:val="22"/>
          <w:szCs w:val="22"/>
        </w:rPr>
        <w:t xml:space="preserve">A Nia acrescentou um critério que o Lucas não mencionou: o plugin precisa ser ativamente mantido. Um plugin abandonado é uma liability, não um asset. Isso reforça que a comunicação de go-to-market precisa incluir sinais claros de que o desenvolvimento está ativo — changelog visível, resposta em fóruns, versioning consistente.</w:t>
      </w:r>
    </w:p>
    <w:p>
      <w:r>
        <w:br w:type="page"/>
      </w:r>
    </w:p>
    <w:p>
      <w:pPr>
        <w:pStyle w:val="Heading1"/>
        <w:spacing w:before="400" w:after="200"/>
      </w:pPr>
      <w:r>
        <w:rPr>
          <w:rFonts w:ascii="Arial" w:cs="Arial" w:eastAsia="Arial" w:hAnsi="Arial"/>
          <w:b/>
          <w:bCs/>
          <w:color w:val="1F3864"/>
          <w:sz w:val="32"/>
          <w:szCs w:val="32"/>
        </w:rPr>
        <w:t xml:space="preserve">Parte 3 — Síntese Executiva</w:t>
      </w:r>
    </w:p>
    <w:p>
      <w:pPr>
        <w:pStyle w:val="Heading2"/>
        <w:spacing w:before="300" w:after="150"/>
      </w:pPr>
      <w:r>
        <w:rPr>
          <w:rFonts w:ascii="Arial" w:cs="Arial" w:eastAsia="Arial" w:hAnsi="Arial"/>
          <w:b/>
          <w:bCs/>
          <w:color w:val="2E5E99"/>
          <w:sz w:val="26"/>
          <w:szCs w:val="26"/>
        </w:rPr>
        <w:t xml:space="preserve">O que a sessão validou</w:t>
      </w:r>
    </w:p>
    <w:p>
      <w:pPr>
        <w:spacing w:before="80" w:after="120"/>
      </w:pPr>
      <w:r>
        <w:rPr>
          <w:rFonts w:ascii="Arial" w:cs="Arial" w:eastAsia="Arial" w:hAnsi="Arial"/>
          <w:sz w:val="22"/>
          <w:szCs w:val="22"/>
        </w:rPr>
        <w:t xml:space="preserve">O CodeMarker resolve uma dor real e não resolvida: pesquisadores que já usam Obsidian como espaço de síntese qualitativa estão fazendo isso com workarounds manuais, custosos e frágeis. A marcação inline, o sidepanel como espaço de atoms, e o promote to note endereçam essa dor de forma mais direta do que qualquer ferramenta existente.</w:t>
      </w:r>
    </w:p>
    <w:p>
      <w:pPr>
        <w:spacing w:before="80" w:after="120"/>
      </w:pPr>
      <w:r>
        <w:rPr>
          <w:rFonts w:ascii="Arial" w:cs="Arial" w:eastAsia="Arial" w:hAnsi="Arial"/>
          <w:sz w:val="22"/>
          <w:szCs w:val="22"/>
        </w:rPr>
        <w:t xml:space="preserve">O produto não precisa ser vendido — precisa ser demonstrado. Os dois participantes não conseguiram imaginar o valor até que o conceito foi descrito em linguagem concreta. A barreira é de comunicação, não de utilidade.</w:t>
      </w:r>
    </w:p>
    <w:p>
      <w:pPr>
        <w:pStyle w:val="Heading2"/>
        <w:spacing w:before="300" w:after="150"/>
      </w:pPr>
      <w:r>
        <w:rPr>
          <w:rFonts w:ascii="Arial" w:cs="Arial" w:eastAsia="Arial" w:hAnsi="Arial"/>
          <w:b/>
          <w:bCs/>
          <w:color w:val="2E5E99"/>
          <w:sz w:val="26"/>
          <w:szCs w:val="26"/>
        </w:rPr>
        <w:t xml:space="preserve">O que ainda não foi validado</w:t>
      </w:r>
    </w:p>
    <w:p>
      <w:pPr>
        <w:pStyle w:val="ListParagraph"/>
        <w:numPr>
          <w:ilvl w:val="0"/>
          <w:numId w:val="2"/>
        </w:numPr>
        <w:spacing w:before="60" w:after="60"/>
      </w:pPr>
      <w:r>
        <w:rPr>
          <w:rFonts w:ascii="Arial" w:cs="Arial" w:eastAsia="Arial" w:hAnsi="Arial"/>
          <w:sz w:val="22"/>
          <w:szCs w:val="22"/>
        </w:rPr>
        <w:t xml:space="preserve">Performance em vaults grandes com muitos markers</w:t>
      </w:r>
    </w:p>
    <w:p>
      <w:pPr>
        <w:pStyle w:val="ListParagraph"/>
        <w:numPr>
          <w:ilvl w:val="0"/>
          <w:numId w:val="2"/>
        </w:numPr>
        <w:spacing w:before="60" w:after="60"/>
      </w:pPr>
      <w:r>
        <w:rPr>
          <w:rFonts w:ascii="Arial" w:cs="Arial" w:eastAsia="Arial" w:hAnsi="Arial"/>
          <w:sz w:val="22"/>
          <w:szCs w:val="22"/>
        </w:rPr>
        <w:t xml:space="preserve">O promote to note como fluxo real (foi validado como conceito, não como implementação)</w:t>
      </w:r>
    </w:p>
    <w:p>
      <w:pPr>
        <w:pStyle w:val="ListParagraph"/>
        <w:numPr>
          <w:ilvl w:val="0"/>
          <w:numId w:val="2"/>
        </w:numPr>
        <w:spacing w:before="60" w:after="60"/>
      </w:pPr>
      <w:r>
        <w:rPr>
          <w:rFonts w:ascii="Arial" w:cs="Arial" w:eastAsia="Arial" w:hAnsi="Arial"/>
          <w:sz w:val="22"/>
          <w:szCs w:val="22"/>
        </w:rPr>
        <w:t xml:space="preserve">A experiência de codificar um CSV de respostas abertas</w:t>
      </w:r>
    </w:p>
    <w:p>
      <w:pPr>
        <w:pStyle w:val="ListParagraph"/>
        <w:numPr>
          <w:ilvl w:val="0"/>
          <w:numId w:val="2"/>
        </w:numPr>
        <w:spacing w:before="60" w:after="60"/>
      </w:pPr>
      <w:r>
        <w:rPr>
          <w:rFonts w:ascii="Arial" w:cs="Arial" w:eastAsia="Arial" w:hAnsi="Arial"/>
          <w:sz w:val="22"/>
          <w:szCs w:val="22"/>
        </w:rPr>
        <w:t xml:space="preserve">O fluxo completo de export REFI-QDA e reimport no Atlas.ti</w:t>
      </w:r>
    </w:p>
    <w:p>
      <w:pPr>
        <w:pStyle w:val="Heading2"/>
        <w:spacing w:before="300" w:after="150"/>
      </w:pPr>
      <w:r>
        <w:rPr>
          <w:rFonts w:ascii="Arial" w:cs="Arial" w:eastAsia="Arial" w:hAnsi="Arial"/>
          <w:b/>
          <w:bCs/>
          <w:color w:val="2E5E99"/>
          <w:sz w:val="26"/>
          <w:szCs w:val="26"/>
        </w:rPr>
        <w:t xml:space="preserve">Três frases que o produto pode usar</w:t>
      </w:r>
    </w:p>
    <w:p>
      <w:pPr>
        <w:pBdr>
          <w:left w:val="single" w:color="2E5E99" w:sz="12" w:space="10"/>
        </w:pBdr>
        <w:spacing w:before="160" w:after="160"/>
        <w:ind w:left="720" w:right="720"/>
      </w:pPr>
      <w:r>
        <w:rPr>
          <w:rFonts w:ascii="Arial" w:cs="Arial" w:eastAsia="Arial" w:hAnsi="Arial"/>
          <w:i/>
          <w:iCs/>
          <w:color w:val="444444"/>
          <w:sz w:val="22"/>
          <w:szCs w:val="22"/>
        </w:rPr>
        <w:t xml:space="preserve">"É como ter um Atlas.ti dentro do Obsidian."</w:t>
      </w:r>
      <w:r>
        <w:rPr>
          <w:rFonts w:ascii="Arial" w:cs="Arial" w:eastAsia="Arial" w:hAnsi="Arial"/>
          <w:color w:val="888888"/>
          <w:sz w:val="20"/>
          <w:szCs w:val="20"/>
        </w:rPr>
        <w:t xml:space="preserve">  — Prof. Lucas Yamamoto — posicionamento por analogia</w:t>
      </w:r>
    </w:p>
    <w:p>
      <w:pPr>
        <w:pBdr>
          <w:left w:val="single" w:color="2E5E99" w:sz="12" w:space="10"/>
        </w:pBdr>
        <w:spacing w:before="160" w:after="160"/>
        <w:ind w:left="720" w:right="720"/>
      </w:pPr>
      <w:r>
        <w:rPr>
          <w:rFonts w:ascii="Arial" w:cs="Arial" w:eastAsia="Arial" w:hAnsi="Arial"/>
          <w:i/>
          <w:iCs/>
          <w:color w:val="444444"/>
          <w:sz w:val="22"/>
          <w:szCs w:val="22"/>
        </w:rPr>
        <w:t xml:space="preserve">"Force multiplier for my intellectual output."</w:t>
      </w:r>
      <w:r>
        <w:rPr>
          <w:rFonts w:ascii="Arial" w:cs="Arial" w:eastAsia="Arial" w:hAnsi="Arial"/>
          <w:color w:val="888888"/>
          <w:sz w:val="20"/>
          <w:szCs w:val="20"/>
        </w:rPr>
        <w:t xml:space="preserve">  — Dr. Nia Okonkwo — posicionamento por valor</w:t>
      </w:r>
    </w:p>
    <w:p>
      <w:pPr>
        <w:pBdr>
          <w:left w:val="single" w:color="2E5E99" w:sz="12" w:space="10"/>
        </w:pBdr>
        <w:spacing w:before="160" w:after="160"/>
        <w:ind w:left="720" w:right="720"/>
      </w:pPr>
      <w:r>
        <w:rPr>
          <w:rFonts w:ascii="Arial" w:cs="Arial" w:eastAsia="Arial" w:hAnsi="Arial"/>
          <w:i/>
          <w:iCs/>
          <w:color w:val="444444"/>
          <w:sz w:val="22"/>
          <w:szCs w:val="22"/>
        </w:rPr>
        <w:t xml:space="preserve">"In Atlas.ti I'm managing the project. In Obsidian, I'm just thinking with the data."</w:t>
      </w:r>
      <w:r>
        <w:rPr>
          <w:rFonts w:ascii="Arial" w:cs="Arial" w:eastAsia="Arial" w:hAnsi="Arial"/>
          <w:color w:val="888888"/>
          <w:sz w:val="20"/>
          <w:szCs w:val="20"/>
        </w:rPr>
        <w:t xml:space="preserve">  — Dr. Nia Okonkwo — a distinção central do produto</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CodeMarker · Análise de Pesquisa com Usuários Sintéticos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E9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2026-02-17T21:31:45.356Z</dcterms:created>
  <dcterms:modified xsi:type="dcterms:W3CDTF">2026-02-17T21:31:45.357Z</dcterms:modified>
</cp:coreProperties>
</file>

<file path=docProps/custom.xml><?xml version="1.0" encoding="utf-8"?>
<Properties xmlns="http://schemas.openxmlformats.org/officeDocument/2006/custom-properties" xmlns:vt="http://schemas.openxmlformats.org/officeDocument/2006/docPropsVTypes"/>
</file>