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677"/>
        <w:gridCol w:w="4677"/>
      </w:tblGrid>
      <w:tr>
        <w:trPr>
          <w:cantSplit/>
        </w:trPr>
        <w:tc>
          <w:tcPr>
            <w:tcW w:type="dxa" w:w="4252"/>
            <w:vAlign w:val="center"/>
            <w:tcMar>
              <w:top w:w="80" w:type="dxa"/>
              <w:bottom w:w="80" w:type="dxa"/>
              <w:left w:w="100" w:type="dxa"/>
              <w:right w:w="100" w:type="dxa"/>
            </w:tcMar>
          </w:tcPr>
          <w:p>
            <w:pPr>
              <w:spacing w:before="40" w:after="40" w:line="264" w:lineRule="auto"/>
              <w:jc w:val="center"/>
            </w:pPr>
            <w:r>
              <w:rPr>
                <w:rFonts w:ascii="Times New Roman" w:hAnsi="Times New Roman"/>
                <w:b/>
                <w:i w:val="0"/>
                <w:color w:val="0F172A"/>
                <w:sz w:val="25"/>
              </w:rPr>
              <w:t>ỦY BAN NHÂN DÂN&lt;br&gt;HUYỆN MỸ XUYÊN</w:t>
            </w:r>
          </w:p>
        </w:tc>
        <w:tc>
          <w:tcPr>
            <w:tcW w:type="dxa" w:w="5102"/>
            <w:vAlign w:val="center"/>
            <w:tcMar>
              <w:top w:w="80" w:type="dxa"/>
              <w:bottom w:w="80" w:type="dxa"/>
              <w:left w:w="100" w:type="dxa"/>
              <w:right w:w="100" w:type="dxa"/>
            </w:tcMar>
          </w:tcPr>
          <w:p>
            <w:pPr>
              <w:spacing w:before="40" w:after="40" w:line="264" w:lineRule="auto"/>
              <w:jc w:val="center"/>
            </w:pPr>
            <w:r>
              <w:rPr>
                <w:rFonts w:ascii="Times New Roman" w:hAnsi="Times New Roman"/>
                <w:b/>
                <w:i/>
                <w:color w:val="0F172A"/>
                <w:sz w:val="25"/>
              </w:rPr>
              <w:t>CỘNG HÒA XÃ HỘI CHỦ NGHĨA VIỆT NAM&lt;br&gt;Độc lập - Tự do - Hạnh phúc</w:t>
            </w:r>
          </w:p>
        </w:tc>
      </w:tr>
      <w:tr>
        <w:trPr>
          <w:cantSplit/>
        </w:trPr>
        <w:tc>
          <w:tcPr>
            <w:tcW w:type="dxa" w:w="4252"/>
            <w:vAlign w:val="center"/>
            <w:tcMar>
              <w:top w:w="80" w:type="dxa"/>
              <w:bottom w:w="80" w:type="dxa"/>
              <w:left w:w="100" w:type="dxa"/>
              <w:right w:w="100" w:type="dxa"/>
            </w:tcMar>
          </w:tcPr>
          <w:p>
            <w:pPr>
              <w:spacing w:before="40" w:after="40" w:line="264" w:lineRule="auto"/>
              <w:jc w:val="center"/>
            </w:pPr>
            <w:r>
              <w:rPr>
                <w:rFonts w:ascii="Times New Roman" w:hAnsi="Times New Roman"/>
                <w:b w:val="0"/>
                <w:i w:val="0"/>
                <w:color w:val="0F172A"/>
                <w:sz w:val="25"/>
              </w:rPr>
              <w:t>Số: 3848/QĐ-UBND</w:t>
            </w:r>
          </w:p>
        </w:tc>
        <w:tc>
          <w:tcPr>
            <w:tcW w:type="dxa" w:w="5102"/>
            <w:vAlign w:val="center"/>
            <w:tcMar>
              <w:top w:w="80" w:type="dxa"/>
              <w:bottom w:w="80" w:type="dxa"/>
              <w:left w:w="100" w:type="dxa"/>
              <w:right w:w="100" w:type="dxa"/>
            </w:tcMar>
          </w:tcPr>
          <w:p>
            <w:pPr>
              <w:spacing w:before="40" w:after="40" w:line="264" w:lineRule="auto"/>
              <w:jc w:val="center"/>
            </w:pPr>
            <w:r>
              <w:rPr>
                <w:rFonts w:ascii="Times New Roman" w:hAnsi="Times New Roman"/>
                <w:b w:val="0"/>
                <w:i/>
                <w:color w:val="0F172A"/>
                <w:sz w:val="25"/>
              </w:rPr>
              <w:t>Mỹ Xuyên, ngày 01 tháng 9 năm 2023</w:t>
            </w:r>
          </w:p>
        </w:tc>
      </w:tr>
    </w:tbl>
    <w:p>
      <w:pPr>
        <w:spacing w:before="80" w:after="80"/>
      </w:pPr>
    </w:p>
    <w:p>
      <w:pPr>
        <w:spacing w:before="40" w:after="80" w:line="276" w:lineRule="auto"/>
      </w:pPr>
      <w:r>
        <w:rPr>
          <w:rFonts w:ascii="Times New Roman" w:hAnsi="Times New Roman"/>
          <w:b w:val="0"/>
          <w:i w:val="0"/>
          <w:color w:val="0F172A"/>
          <w:sz w:val="26"/>
        </w:rPr>
        <w:t>&lt;br&gt;</w:t>
      </w:r>
    </w:p>
    <w:p>
      <w:pPr>
        <w:spacing w:before="280" w:after="120" w:line="288" w:lineRule="auto"/>
        <w:jc w:val="center"/>
      </w:pPr>
      <w:r>
        <w:rPr>
          <w:rFonts w:ascii="Times New Roman" w:hAnsi="Times New Roman"/>
          <w:b/>
          <w:color w:val="1E3A8A"/>
          <w:sz w:val="32"/>
        </w:rPr>
        <w:t>QUYẾT ĐỊNH</w:t>
      </w:r>
    </w:p>
    <w:p>
      <w:pPr>
        <w:spacing w:before="160" w:after="60" w:line="276" w:lineRule="auto"/>
      </w:pPr>
      <w:r>
        <w:rPr>
          <w:rFonts w:ascii="Times New Roman" w:hAnsi="Times New Roman"/>
          <w:b/>
          <w:color w:val="2563EB"/>
          <w:sz w:val="26"/>
        </w:rPr>
        <w:t>Về việc chuyển chức danh nghề nghiệp đối với viên chức</w:t>
      </w:r>
    </w:p>
    <w:p>
      <w:pPr>
        <w:spacing w:before="120" w:after="120"/>
        <w:jc w:val="center"/>
      </w:pPr>
      <w:r>
        <w:rPr>
          <w:rFonts w:ascii="Times New Roman" w:hAnsi="Times New Roman"/>
          <w:color w:val="94A3B8"/>
          <w:sz w:val="20"/>
        </w:rPr>
        <w:t>―――――――――――――――――――――――――――――――――――――――――――――</w:t>
      </w:r>
    </w:p>
    <w:p>
      <w:pPr>
        <w:spacing w:before="160" w:after="60" w:line="276" w:lineRule="auto"/>
      </w:pPr>
      <w:r>
        <w:rPr>
          <w:rFonts w:ascii="Times New Roman" w:hAnsi="Times New Roman"/>
          <w:b/>
          <w:color w:val="2563EB"/>
          <w:sz w:val="26"/>
        </w:rPr>
        <w:t>CHỦ TỊCH ỦY BAN NHÂN DÂN HUYỆN MỸ XUYÊN</w:t>
      </w:r>
    </w:p>
    <w:p>
      <w:pPr>
        <w:spacing w:before="40" w:after="80" w:line="276" w:lineRule="auto"/>
      </w:pPr>
      <w:r>
        <w:rPr>
          <w:rFonts w:ascii="Times New Roman" w:hAnsi="Times New Roman"/>
          <w:b w:val="0"/>
          <w:i/>
          <w:color w:val="0F172A"/>
          <w:sz w:val="26"/>
        </w:rPr>
        <w:t>Căn cứ Luật Tổ chức chính quyền địa phương ngày 19/6/2015; Luật sửa đổi, bổ sung một số điều của Luật Tổ chức Chính phủ và Luật Tổ chức chính quyền địa phương ngày 22/11/2019;</w:t>
      </w:r>
    </w:p>
    <w:p>
      <w:pPr>
        <w:spacing w:before="40" w:after="80" w:line="276" w:lineRule="auto"/>
      </w:pPr>
      <w:r>
        <w:rPr>
          <w:rFonts w:ascii="Times New Roman" w:hAnsi="Times New Roman"/>
          <w:b w:val="0"/>
          <w:i/>
          <w:color w:val="0F172A"/>
          <w:sz w:val="26"/>
        </w:rPr>
        <w:t>Căn cứ Nghị định số 115/2020/NĐ-CP ngày 25/9/2020 của Chính phủ quy định về tuyển dụng, sử dụng và quản lý viên chức;</w:t>
      </w:r>
    </w:p>
    <w:p>
      <w:pPr>
        <w:spacing w:before="40" w:after="80" w:line="276" w:lineRule="auto"/>
      </w:pPr>
      <w:r>
        <w:rPr>
          <w:rFonts w:ascii="Times New Roman" w:hAnsi="Times New Roman"/>
          <w:b w:val="0"/>
          <w:i/>
          <w:color w:val="0F172A"/>
          <w:sz w:val="26"/>
        </w:rPr>
        <w:t>Căn cứ Thông tư số 02/2007/TT-BNV ngày 25/5/2007 của Bộ Nội vụ hướng dẫn xếp lương khi nâng ngạch, chuyển ngạch, chuyển loại công chức, viên chức;</w:t>
      </w:r>
    </w:p>
    <w:p>
      <w:pPr>
        <w:spacing w:before="40" w:after="80" w:line="276" w:lineRule="auto"/>
      </w:pPr>
      <w:r>
        <w:rPr>
          <w:rFonts w:ascii="Times New Roman" w:hAnsi="Times New Roman"/>
          <w:b w:val="0"/>
          <w:i/>
          <w:color w:val="0F172A"/>
          <w:sz w:val="26"/>
        </w:rPr>
        <w:t>Căn cứ Thông tư số 02/2021/TT-BGDĐT ngày 02/02/2021 của Bộ Giáo dục và Đào tạo quy định mã số, tiêu chuẩn chức danh nghề nghiệp và bổ nhiệm, xếp lương viên chức giảng dạy trong các trường tiểu học công lập;</w:t>
      </w:r>
    </w:p>
    <w:p>
      <w:pPr>
        <w:spacing w:before="40" w:after="80" w:line="276" w:lineRule="auto"/>
      </w:pPr>
      <w:r>
        <w:rPr>
          <w:rFonts w:ascii="Times New Roman" w:hAnsi="Times New Roman"/>
          <w:b w:val="0"/>
          <w:i/>
          <w:color w:val="0F172A"/>
          <w:sz w:val="26"/>
        </w:rPr>
        <w:t>Căn cứ Thông tư số 08/2023/TT-BGDĐT ngày 14/4/2023 của Bộ Giáo dục và Đào tạo sửa đổi, bổ sung một số điều của các Thông tư số 01/2021/TT-BGDĐT, 02/2021/TT-BGDĐT, 03/2021/TT-BGDĐT, 04/2021/TT-BGDĐT ngày 02/02/2021 của Bộ Giáo dục và Đào tạo quy định mã số, tiêu chuẩn chức danh nghề nghiệp và bổ nhiệm, xếp lương viên chức giảng dạy trong các cơ sở giáo dục mầm non, phổ thông công lập;</w:t>
      </w:r>
    </w:p>
    <w:p>
      <w:pPr>
        <w:spacing w:before="40" w:after="80" w:line="276" w:lineRule="auto"/>
      </w:pPr>
      <w:r>
        <w:rPr>
          <w:rFonts w:ascii="Times New Roman" w:hAnsi="Times New Roman"/>
          <w:b w:val="0"/>
          <w:i/>
          <w:color w:val="0F172A"/>
          <w:sz w:val="26"/>
        </w:rPr>
        <w:t>Căn cứ Quyết định số 41/2017/QĐ-UBND ngày 08/12/2017 của UBND tỉnh Sóc Trăng ban hành quy định phân cấp quản lý cán bộ, công chức, viên chức trên địa bàn tỉnh Sóc Trăng;</w:t>
      </w:r>
    </w:p>
    <w:p>
      <w:pPr>
        <w:spacing w:before="40" w:after="80" w:line="276" w:lineRule="auto"/>
      </w:pPr>
      <w:r>
        <w:rPr>
          <w:rFonts w:ascii="Times New Roman" w:hAnsi="Times New Roman"/>
          <w:b w:val="0"/>
          <w:i/>
          <w:color w:val="0F172A"/>
          <w:sz w:val="26"/>
        </w:rPr>
        <w:t>Xét Tờ trình số 421/TTr-PNV ngày 22/8/2023 của Trưởng Phòng Nội vụ huyện Mỹ Xuyên.</w:t>
      </w:r>
    </w:p>
    <w:p>
      <w:pPr>
        <w:spacing w:before="200" w:after="80" w:line="276" w:lineRule="auto"/>
        <w:jc w:val="left"/>
      </w:pPr>
      <w:r>
        <w:rPr>
          <w:rFonts w:ascii="Times New Roman" w:hAnsi="Times New Roman"/>
          <w:b/>
          <w:color w:val="0F172A"/>
          <w:sz w:val="29"/>
        </w:rPr>
        <w:t>QUYẾT ĐỊNH:</w:t>
      </w:r>
    </w:p>
    <w:p>
      <w:pPr>
        <w:spacing w:before="40" w:after="80" w:line="276" w:lineRule="auto"/>
      </w:pPr>
      <w:r>
        <w:rPr>
          <w:rFonts w:ascii="Times New Roman" w:hAnsi="Times New Roman"/>
          <w:b/>
          <w:i w:val="0"/>
          <w:color w:val="0F172A"/>
          <w:sz w:val="26"/>
        </w:rPr>
        <w:t>Điều 1.</w:t>
      </w:r>
      <w:r>
        <w:rPr>
          <w:rFonts w:ascii="Times New Roman" w:hAnsi="Times New Roman"/>
          <w:b w:val="0"/>
          <w:i w:val="0"/>
          <w:color w:val="0F172A"/>
          <w:sz w:val="26"/>
        </w:rPr>
        <w:t xml:space="preserve"> Chuyển chức danh nghề nghiệp đối với ông Tăng Đức Phương, viên chức Trường tiểu học Tham Đôn 3, cụ thể như sau:</w:t>
      </w:r>
    </w:p>
    <w:p>
      <w:pPr>
        <w:spacing w:before="40" w:after="40" w:line="276" w:lineRule="auto"/>
        <w:ind w:left="360"/>
      </w:pPr>
      <w:r>
        <w:rPr>
          <w:rFonts w:ascii="Times New Roman" w:hAnsi="Times New Roman"/>
          <w:b/>
          <w:color w:val="1E3A8A"/>
          <w:sz w:val="26"/>
        </w:rPr>
        <w:t xml:space="preserve">•  </w:t>
      </w:r>
      <w:r>
        <w:rPr>
          <w:rFonts w:ascii="Times New Roman" w:hAnsi="Times New Roman"/>
          <w:b w:val="0"/>
          <w:i w:val="0"/>
          <w:color w:val="0F172A"/>
          <w:sz w:val="26"/>
        </w:rPr>
        <w:t>Chức danh nghề nghiệp đang hưởng giáo viên trung học cơ sở hạng III, mã số V.07.04.12, bậc 5, hệ số 3.34, thời gian nâng bậc lương lần sau kể từ ngày 01/3/2022.</w:t>
      </w:r>
    </w:p>
    <w:p>
      <w:pPr>
        <w:spacing w:before="40" w:after="40" w:line="276" w:lineRule="auto"/>
        <w:ind w:left="360"/>
      </w:pPr>
      <w:r>
        <w:rPr>
          <w:rFonts w:ascii="Times New Roman" w:hAnsi="Times New Roman"/>
          <w:b/>
          <w:color w:val="1E3A8A"/>
          <w:sz w:val="26"/>
        </w:rPr>
        <w:t xml:space="preserve">•  </w:t>
      </w:r>
      <w:r>
        <w:rPr>
          <w:rFonts w:ascii="Times New Roman" w:hAnsi="Times New Roman"/>
          <w:b w:val="0"/>
          <w:i w:val="0"/>
          <w:color w:val="0F172A"/>
          <w:sz w:val="26"/>
        </w:rPr>
        <w:t>Chuyển sang chức danh nghề nghiệp giáo viên tiểu học hạng III, mã số V.07.03.29, bậc 5, hệ số 3.66 kể từ ngày ký quyết định.</w:t>
      </w:r>
    </w:p>
    <w:p>
      <w:pPr>
        <w:spacing w:before="40" w:after="80" w:line="276" w:lineRule="auto"/>
      </w:pPr>
      <w:r>
        <w:rPr>
          <w:rFonts w:ascii="Times New Roman" w:hAnsi="Times New Roman"/>
          <w:b w:val="0"/>
          <w:i w:val="0"/>
          <w:color w:val="0F172A"/>
          <w:sz w:val="26"/>
        </w:rPr>
        <w:t>Thời gian tính để xét nâng lương lần sau kể từ ngày ký quyết định.</w:t>
      </w:r>
    </w:p>
    <w:p>
      <w:pPr>
        <w:spacing w:before="40" w:after="80" w:line="276" w:lineRule="auto"/>
      </w:pPr>
      <w:r>
        <w:rPr>
          <w:rFonts w:ascii="Times New Roman" w:hAnsi="Times New Roman"/>
          <w:b/>
          <w:i w:val="0"/>
          <w:color w:val="0F172A"/>
          <w:sz w:val="26"/>
        </w:rPr>
        <w:t>Điều 2.</w:t>
      </w:r>
      <w:r>
        <w:rPr>
          <w:rFonts w:ascii="Times New Roman" w:hAnsi="Times New Roman"/>
          <w:b w:val="0"/>
          <w:i w:val="0"/>
          <w:color w:val="0F172A"/>
          <w:sz w:val="26"/>
        </w:rPr>
        <w:t xml:space="preserve"> Chánh Văn phòng HĐND và UBND huyện, Trưởng Phòng Nội vụ huyện, Trưởng Phòng Giáo dục và Đào tạo huyện Mỹ Xuyên, Thủ trưởng các cơ quan, đơn vị có liên quan và ông Tăng Đức Phương căn cứ Quyết định thi hành./.</w:t>
      </w:r>
    </w:p>
    <w:p>
      <w:pPr>
        <w:spacing w:before="40" w:after="80" w:line="276" w:lineRule="auto"/>
      </w:pPr>
      <w:r>
        <w:rPr>
          <w:rFonts w:ascii="Times New Roman" w:hAnsi="Times New Roman"/>
          <w:b w:val="0"/>
          <w:i w:val="0"/>
          <w:color w:val="0F172A"/>
          <w:sz w:val="26"/>
        </w:rPr>
        <w:t>&lt;br&gt;</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4" w:space="0" w:color="CBD5E1"/>
          <w:right w:val="single" w:sz="4" w:space="0" w:color="CBD5E1"/>
          <w:insideH w:val="single" w:sz="4" w:space="0" w:color="E2E8F0"/>
          <w:insideV w:val="single" w:sz="4" w:space="0" w:color="E2E8F0"/>
        </w:tblBorders>
      </w:tblPr>
      <w:tblGrid>
        <w:gridCol w:w="4677"/>
        <w:gridCol w:w="4677"/>
      </w:tblGrid>
      <w:tr>
        <w:trPr>
          <w:cantSplit/>
          <w:tblHeader/>
        </w:trPr>
        <w:tc>
          <w:tcPr>
            <w:tcW w:type="dxa" w:w="5085"/>
            <w:vAlign w:val="center"/>
            <w:tcMar>
              <w:top w:w="120" w:type="dxa"/>
              <w:bottom w:w="120" w:type="dxa"/>
              <w:left w:w="160" w:type="dxa"/>
              <w:right w:w="160" w:type="dxa"/>
            </w:tcMar>
            <w:shd w:fill="F1F5F9"/>
          </w:tcPr>
          <w:p>
            <w:pPr>
              <w:spacing w:before="40" w:after="40" w:line="264" w:lineRule="auto"/>
              <w:jc w:val="center"/>
            </w:pPr>
            <w:r>
              <w:rPr>
                <w:rFonts w:ascii="Times New Roman" w:hAnsi="Times New Roman"/>
                <w:b/>
                <w:i w:val="0"/>
                <w:color w:val="0F172A"/>
                <w:sz w:val="24"/>
              </w:rPr>
              <w:t>Nơi nhận:</w:t>
            </w:r>
          </w:p>
        </w:tc>
        <w:tc>
          <w:tcPr>
            <w:tcW w:type="dxa" w:w="4269"/>
            <w:vAlign w:val="center"/>
            <w:tcMar>
              <w:top w:w="120" w:type="dxa"/>
              <w:bottom w:w="120" w:type="dxa"/>
              <w:left w:w="160" w:type="dxa"/>
              <w:right w:w="160" w:type="dxa"/>
            </w:tcMar>
            <w:shd w:fill="F1F5F9"/>
          </w:tcPr>
          <w:p>
            <w:pPr>
              <w:spacing w:before="40" w:after="40" w:line="264" w:lineRule="auto"/>
              <w:jc w:val="center"/>
            </w:pPr>
            <w:r>
              <w:rPr>
                <w:rFonts w:ascii="Times New Roman" w:hAnsi="Times New Roman"/>
                <w:b/>
                <w:i w:val="0"/>
                <w:color w:val="0F172A"/>
                <w:sz w:val="24"/>
              </w:rPr>
              <w:t>KT. CHỦ TỊCH&lt;br&gt;PHÓ CHỦ TỊCH</w:t>
            </w:r>
          </w:p>
        </w:tc>
      </w:tr>
      <w:tr>
        <w:trPr>
          <w:cantSplit/>
        </w:trPr>
        <w:tc>
          <w:tcPr>
            <w:tcW w:type="dxa" w:w="5085"/>
            <w:vAlign w:val="center"/>
            <w:tcMar>
              <w:top w:w="120" w:type="dxa"/>
              <w:bottom w:w="120" w:type="dxa"/>
              <w:left w:w="160" w:type="dxa"/>
              <w:right w:w="160" w:type="dxa"/>
            </w:tcMar>
            <w:shd w:fill="F8FAFC"/>
          </w:tcPr>
          <w:p>
            <w:pPr>
              <w:spacing w:before="40" w:after="40" w:line="264" w:lineRule="auto"/>
              <w:jc w:val="left"/>
            </w:pPr>
            <w:r>
              <w:rPr>
                <w:rFonts w:ascii="Times New Roman" w:hAnsi="Times New Roman"/>
                <w:b w:val="0"/>
                <w:i w:val="0"/>
                <w:color w:val="0F172A"/>
                <w:sz w:val="24"/>
              </w:rPr>
              <w:t>- Như Điều 2;&lt;br&gt;- Hiệu trưởng trường THTĐ3;&lt;br&gt;- Lưu: VT, NC.</w:t>
            </w:r>
          </w:p>
        </w:tc>
        <w:tc>
          <w:tcPr>
            <w:tcW w:type="dxa" w:w="4269"/>
            <w:vAlign w:val="center"/>
            <w:tcMar>
              <w:top w:w="120" w:type="dxa"/>
              <w:bottom w:w="120" w:type="dxa"/>
              <w:left w:w="160" w:type="dxa"/>
              <w:right w:w="160" w:type="dxa"/>
            </w:tcMar>
            <w:shd w:fill="F8FAFC"/>
          </w:tcPr>
          <w:p>
            <w:pPr>
              <w:spacing w:before="40" w:after="40" w:line="264" w:lineRule="auto"/>
              <w:jc w:val="left"/>
            </w:pPr>
            <w:r>
              <w:rPr>
                <w:rFonts w:ascii="Times New Roman" w:hAnsi="Times New Roman"/>
                <w:b w:val="0"/>
                <w:i/>
                <w:color w:val="0F172A"/>
                <w:sz w:val="24"/>
              </w:rPr>
              <w:t>(Đã ký và đóng dấu)</w:t>
            </w:r>
            <w:r>
              <w:rPr>
                <w:rFonts w:ascii="Times New Roman" w:hAnsi="Times New Roman"/>
                <w:b w:val="0"/>
                <w:i w:val="0"/>
                <w:color w:val="0F172A"/>
                <w:sz w:val="24"/>
              </w:rPr>
              <w:t>&lt;br&gt;&lt;br&gt;&lt;br&gt;</w:t>
            </w:r>
            <w:r>
              <w:rPr>
                <w:rFonts w:ascii="Times New Roman" w:hAnsi="Times New Roman"/>
                <w:b/>
                <w:i w:val="0"/>
                <w:color w:val="0F172A"/>
                <w:sz w:val="24"/>
              </w:rPr>
              <w:t>Nguyễn Minh Trí</w:t>
            </w:r>
          </w:p>
        </w:tc>
      </w:tr>
    </w:tbl>
    <w:p>
      <w:pPr>
        <w:spacing w:before="80" w:after="80"/>
      </w:pP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right"/>
    </w:pPr>
    <w:r>
      <w:rPr>
        <w:rFonts w:ascii="Times New Roman" w:hAnsi="Times New Roman"/>
        <w:color w:val="94A3B8"/>
        <w:sz w:val="18"/>
      </w:rPr>
      <w:t xml:space="preserve">Qd Chuyen Hang Tieu Hoc - Luong Hien Huong 1-9-2023   |   </w:t>
    </w:r>
    <w:r>
      <w:rPr>
        <w:rFonts w:ascii="Times New Roman" w:hAnsi="Times New Roman"/>
        <w:color w:val="64748B"/>
        <w:sz w:val="18"/>
      </w:rPr>
      <w:t xml:space="preserve">Trang </w:t>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