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13F5482"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xml:space="preserve">. However, my analysis does not account for the NCHS’s data for the past year since its completion is lagged for the next two years. Furthermore, statistics </w:t>
      </w:r>
      <w:r w:rsidR="00E8678B">
        <w:rPr>
          <w:rFonts w:ascii="Times New Roman" w:hAnsi="Times New Roman" w:cs="Times New Roman"/>
          <w:sz w:val="24"/>
          <w:szCs w:val="24"/>
        </w:rPr>
        <w:t xml:space="preserve">that are verified by the Census </w:t>
      </w:r>
      <w:r w:rsidR="00ED0807">
        <w:rPr>
          <w:rFonts w:ascii="Times New Roman" w:hAnsi="Times New Roman" w:cs="Times New Roman"/>
          <w:sz w:val="24"/>
          <w:szCs w:val="24"/>
        </w:rPr>
        <w:t>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71E4FDC9"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w:t>
      </w:r>
      <w:r w:rsidR="00E72EB0">
        <w:rPr>
          <w:rFonts w:ascii="Times New Roman" w:hAnsi="Times New Roman" w:cs="Times New Roman"/>
          <w:sz w:val="24"/>
          <w:szCs w:val="24"/>
        </w:rPr>
        <w:t xml:space="preserve">that is </w:t>
      </w:r>
      <w:r w:rsidRPr="00531FFC">
        <w:rPr>
          <w:rFonts w:ascii="Times New Roman" w:hAnsi="Times New Roman" w:cs="Times New Roman"/>
          <w:sz w:val="24"/>
          <w:szCs w:val="24"/>
        </w:rPr>
        <w:t>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580D0962"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w:t>
      </w:r>
      <w:r w:rsidR="00552C95">
        <w:rPr>
          <w:rFonts w:ascii="Times New Roman" w:hAnsi="Times New Roman" w:cs="Times New Roman"/>
          <w:sz w:val="24"/>
          <w:szCs w:val="24"/>
        </w:rPr>
        <w:lastRenderedPageBreak/>
        <w:t>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the two </w:t>
      </w:r>
      <w:r w:rsidR="00C6719B">
        <w:rPr>
          <w:rFonts w:ascii="Times New Roman" w:hAnsi="Times New Roman" w:cs="Times New Roman"/>
          <w:sz w:val="24"/>
          <w:szCs w:val="24"/>
        </w:rPr>
        <w:t xml:space="preserve">sub-national </w:t>
      </w:r>
      <w:r w:rsidR="00F240EB">
        <w:rPr>
          <w:rFonts w:ascii="Times New Roman" w:hAnsi="Times New Roman" w:cs="Times New Roman"/>
          <w:sz w:val="24"/>
          <w:szCs w:val="24"/>
        </w:rPr>
        <w:t xml:space="preserve">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62D01F96"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w:t>
      </w:r>
      <w:r w:rsidR="00114102">
        <w:rPr>
          <w:rFonts w:ascii="Times New Roman" w:hAnsi="Times New Roman" w:cs="Times New Roman"/>
          <w:sz w:val="24"/>
          <w:szCs w:val="24"/>
        </w:rPr>
        <w:t>preliminary</w:t>
      </w:r>
      <w:r>
        <w:rPr>
          <w:rFonts w:ascii="Times New Roman" w:hAnsi="Times New Roman" w:cs="Times New Roman"/>
          <w:sz w:val="24"/>
          <w:szCs w:val="24"/>
        </w:rPr>
        <w:t xml:space="preserve"> analysis </w:t>
      </w:r>
      <w:r w:rsidR="00114102">
        <w:rPr>
          <w:rFonts w:ascii="Times New Roman" w:hAnsi="Times New Roman" w:cs="Times New Roman"/>
          <w:sz w:val="24"/>
          <w:szCs w:val="24"/>
        </w:rPr>
        <w:t xml:space="preserve">involving statistics </w:t>
      </w:r>
      <w:r>
        <w:rPr>
          <w:rFonts w:ascii="Times New Roman" w:hAnsi="Times New Roman" w:cs="Times New Roman"/>
          <w:sz w:val="24"/>
          <w:szCs w:val="24"/>
        </w:rPr>
        <w:t xml:space="preserve">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4C21D418" w14:textId="3D18C01F" w:rsidR="00FE0492" w:rsidRDefault="00A8163C" w:rsidP="003824A8">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798F3402" w14:textId="77777777" w:rsidR="003824A8" w:rsidRPr="003824A8" w:rsidRDefault="003824A8" w:rsidP="003824A8">
      <w:pPr>
        <w:rPr>
          <w:rFonts w:ascii="Times New Roman" w:hAnsi="Times New Roman" w:cs="Times New Roman"/>
          <w:sz w:val="16"/>
          <w:szCs w:val="16"/>
        </w:rPr>
      </w:pPr>
    </w:p>
    <w:p w14:paraId="3AFB9904" w14:textId="6DE345D4" w:rsidR="00375115" w:rsidRDefault="00375115" w:rsidP="007A4979">
      <w:pPr>
        <w:rPr>
          <w:rFonts w:ascii="Times New Roman" w:hAnsi="Times New Roman" w:cs="Times New Roman"/>
          <w:sz w:val="24"/>
          <w:szCs w:val="24"/>
        </w:rPr>
      </w:pPr>
      <w:r w:rsidRPr="00375115">
        <w:rPr>
          <w:rFonts w:ascii="Times New Roman" w:hAnsi="Times New Roman" w:cs="Times New Roman"/>
          <w:sz w:val="24"/>
          <w:szCs w:val="24"/>
        </w:rPr>
        <w:t xml:space="preserve">Regarding the ‘Births’ graph, it is notable for depicting a consistently decreasing fertility rate, except for an inexplicable increase in the rate from 2012 until 2015. In 2017, demographer Kenneth Johnson attributed the National Center for Health Statistics’ report of a record low birth rate in the United States to the aftermath of the Great Recession which “sent an economic shock through American society that reached far beyond the stock and housing market” (p. 1). Furthermore, he explains how although there was a larger population of women in their fertile prime four years ago, more than four-million fewer babies were born in the country from 2008 until 2016 than what would have occurred had pre-recession fertility rates not been interrupted. Although we observe from the graph that the slope becomes slightly less negative beginning in 2019, the Coronavirus will rot similar long-term effects as the Great Recession did, including a thinning of the future population pyramid. This is because census data depicting the dearth of births at the tail end of 2020 is in the final stages of collection but </w:t>
      </w:r>
      <w:r w:rsidR="00D80529">
        <w:rPr>
          <w:rFonts w:ascii="Times New Roman" w:hAnsi="Times New Roman" w:cs="Times New Roman"/>
          <w:sz w:val="24"/>
          <w:szCs w:val="24"/>
        </w:rPr>
        <w:t>unfortunately</w:t>
      </w:r>
      <w:r w:rsidRPr="00375115">
        <w:rPr>
          <w:rFonts w:ascii="Times New Roman" w:hAnsi="Times New Roman" w:cs="Times New Roman"/>
          <w:sz w:val="24"/>
          <w:szCs w:val="24"/>
        </w:rPr>
        <w:t xml:space="preserve"> is not yet available. The ‘dearth of births’ which will cause the slope of the ‘Births’ graph to negatively veer in the next year is the consequence of social distancing regulations that were implemented in March 2020 creating an obstacle for sexual reproductivity.</w:t>
      </w:r>
    </w:p>
    <w:p w14:paraId="2656FDE1" w14:textId="77777777" w:rsidR="00FB4CC2" w:rsidRP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lastRenderedPageBreak/>
        <w:t>As it is immediately evident from observing the ‘Deaths’ graph, mortality rates in the United States have consistently increased, aside from years of stagnancy including 2013, 2015, and 2018. As previously stated, statistics that have been collected by the Census regarding racial, socio-economic, and sex-based groups are not presently available. However, research conducted by neurosurgeon Adam Li and his associated scholars possesses resounding conclusions surrounding racial and location-based factors that posit individuals to be more susceptible to death from COVID-19. Regarding sectors of industry that put subgroups of society in harm’s way, fewer than one in five African Americans have a job that gives them the flexibility to work from home, which is mainly due to Black Americans making up a large share of the “essential” industries of healthcare, transportation, government, and food supply (Li et al., 2020, p. 8). Furthermore, the nearly one million transit workers that remained after an eighty-seven percent reduction in ridership were predominantly low-income people of color. Another health-related factor that made Black Americans more vulnerable to the pandemic was the finding that seventy-one-point-nine percent of non-Hispanic Black individuals were found to suffer from vitamin D deficiency. Vitamin D has been found to be essential for survival amid the pandemic due to its “important modulatory effect on immune response” (p. 9). The increased melanin pigmentation that is characteristic of people of color absorbs greater amounts of radiation than that of the skin of non-people of color which reduces ultraviolet-B radiation which is needed to trigger the production of vitamin D. The researchers also concluded that the protective effect of warmer climates which allows vitamin D to be cultivated at a greater rate causes a reduction in COVID-19 cases, but not mortality. Otherwise, one should expect a seasonal trend in global cases, with special attention given to regions of warmer climate, and mortality (p. 9).</w:t>
      </w:r>
    </w:p>
    <w:p w14:paraId="501C5006" w14:textId="725677E1" w:rsid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t>The researchers headed by Li also found a correlation between two factors that may initially seem counter-intuitive regarding the reported COVID-19 cases and an increase in mortality rates. As those that are poverty-stricken experienced an expedited case spread, those with economic stability found accessibility to getting tested more convenient. Also, flu vaccination was considered an indication of readily accessible healthcare. All three of these categorial qualities led to a statistically reported increase in exposure to the virus. Additionally, proactive social distancing caused decreased pollution levels, and thus pollution-related COVID-19 cases (p. 10). Lastly, the researchers conclude that the effect of either proactive or reactive social distancing is ambiguous since the former causes more cases and deaths while the latter causes widespread fear which leads to reactive social distancing. Thus, the researchers advise future studies to account for which time-based version of social distancing that is being measured (p. 11). Since my data that is the census procured from entails a point of conclusion in July 2020, I believe the first figure reflects proactive social distancing in the last yearly segment of each graph.</w:t>
      </w:r>
    </w:p>
    <w:p w14:paraId="24067709" w14:textId="3FC9FAD1"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w:t>
      </w:r>
      <w:r w:rsidR="00766A9B">
        <w:rPr>
          <w:rFonts w:ascii="Times New Roman" w:hAnsi="Times New Roman" w:cs="Times New Roman"/>
          <w:sz w:val="24"/>
          <w:szCs w:val="24"/>
        </w:rPr>
        <w:t xml:space="preserve"> effectively </w:t>
      </w:r>
      <w:r>
        <w:rPr>
          <w:rFonts w:ascii="Times New Roman" w:hAnsi="Times New Roman" w:cs="Times New Roman"/>
          <w:sz w:val="24"/>
          <w:szCs w:val="24"/>
        </w:rPr>
        <w:t>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lastRenderedPageBreak/>
        <w:t xml:space="preserve">According to </w:t>
      </w:r>
      <w:proofErr w:type="spellStart"/>
      <w:r w:rsidRPr="007A4979">
        <w:rPr>
          <w:rFonts w:ascii="Times New Roman" w:hAnsi="Times New Roman" w:cs="Times New Roman"/>
          <w:sz w:val="24"/>
          <w:szCs w:val="24"/>
        </w:rPr>
        <w:t>DeWaard</w:t>
      </w:r>
      <w:proofErr w:type="spellEnd"/>
      <w:r w:rsidRPr="007A4979">
        <w:rPr>
          <w:rFonts w:ascii="Times New Roman" w:hAnsi="Times New Roman" w:cs="Times New Roman"/>
          <w:sz w:val="24"/>
          <w:szCs w:val="24"/>
        </w:rPr>
        <w:t xml:space="preserve">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7D4D0336"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w:t>
      </w:r>
      <w:r w:rsidR="006737C1">
        <w:rPr>
          <w:rFonts w:ascii="Times New Roman" w:hAnsi="Times New Roman" w:cs="Times New Roman"/>
          <w:sz w:val="24"/>
          <w:szCs w:val="24"/>
        </w:rPr>
        <w:t>,</w:t>
      </w:r>
      <w:r w:rsidR="00B934BC">
        <w:rPr>
          <w:rFonts w:ascii="Times New Roman" w:hAnsi="Times New Roman" w:cs="Times New Roman"/>
          <w:sz w:val="24"/>
          <w:szCs w:val="24"/>
        </w:rPr>
        <w:t xml:space="preserve"> migrants</w:t>
      </w:r>
      <w:r w:rsidR="008A27F4">
        <w:rPr>
          <w:rFonts w:ascii="Times New Roman" w:hAnsi="Times New Roman" w:cs="Times New Roman"/>
          <w:sz w:val="24"/>
          <w:szCs w:val="24"/>
        </w:rPr>
        <w:t>.</w:t>
      </w:r>
    </w:p>
    <w:p w14:paraId="4733CC93" w14:textId="70A05FEA" w:rsidR="00760704" w:rsidRPr="00FB4CC2" w:rsidRDefault="00680399" w:rsidP="00FB4CC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Also, many countries reduced human contact “through limiting large gatherings, closing schools, or implementing total lockdowns” (</w:t>
      </w:r>
      <w:proofErr w:type="spellStart"/>
      <w:r w:rsidR="0025397E">
        <w:rPr>
          <w:rFonts w:ascii="Times New Roman" w:hAnsi="Times New Roman" w:cs="Times New Roman"/>
          <w:sz w:val="24"/>
          <w:szCs w:val="24"/>
        </w:rPr>
        <w:t>Linka</w:t>
      </w:r>
      <w:proofErr w:type="spellEnd"/>
      <w:r w:rsidR="0025397E">
        <w:rPr>
          <w:rFonts w:ascii="Times New Roman" w:hAnsi="Times New Roman" w:cs="Times New Roman"/>
          <w:sz w:val="24"/>
          <w:szCs w:val="24"/>
        </w:rPr>
        <w:t xml:space="preserve">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0EEDB4CD" w14:textId="5A4DF89B"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lastRenderedPageBreak/>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w:t>
      </w:r>
      <w:proofErr w:type="gramStart"/>
      <w:r w:rsidRPr="00567F83">
        <w:rPr>
          <w:rFonts w:ascii="Times New Roman" w:hAnsi="Times New Roman" w:cs="Times New Roman"/>
          <w:sz w:val="16"/>
          <w:szCs w:val="16"/>
        </w:rPr>
        <w:t>in light of</w:t>
      </w:r>
      <w:proofErr w:type="gramEnd"/>
      <w:r w:rsidRPr="00567F83">
        <w:rPr>
          <w:rFonts w:ascii="Times New Roman" w:hAnsi="Times New Roman" w:cs="Times New Roman"/>
          <w:sz w:val="16"/>
          <w:szCs w:val="16"/>
        </w:rPr>
        <w:t xml:space="preserve"> the SARS-CoV-2 pandemic. Despite </w:t>
      </w:r>
      <w:proofErr w:type="gramStart"/>
      <w:r w:rsidRPr="00567F83">
        <w:rPr>
          <w:rFonts w:ascii="Times New Roman" w:hAnsi="Times New Roman" w:cs="Times New Roman"/>
          <w:sz w:val="16"/>
          <w:szCs w:val="16"/>
        </w:rPr>
        <w:t>the majority of</w:t>
      </w:r>
      <w:proofErr w:type="gramEnd"/>
      <w:r w:rsidRPr="00567F83">
        <w:rPr>
          <w:rFonts w:ascii="Times New Roman" w:hAnsi="Times New Roman" w:cs="Times New Roman"/>
          <w:sz w:val="16"/>
          <w:szCs w:val="16"/>
        </w:rPr>
        <w:t xml:space="preserve"> Americans currently living in counties with some form of social distancing mandate, fewer than one in five Black Americans have a job that gives them this flexibility to work from home, compared with more than a third of white and Asian American workers.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 xml:space="preserve">minority groups to work essential jobs that also require </w:t>
      </w:r>
      <w:proofErr w:type="gramStart"/>
      <w:r w:rsidRPr="003E385A">
        <w:rPr>
          <w:rFonts w:ascii="Times New Roman" w:hAnsi="Times New Roman" w:cs="Times New Roman"/>
          <w:sz w:val="16"/>
          <w:szCs w:val="16"/>
        </w:rPr>
        <w:t>close proximity</w:t>
      </w:r>
      <w:proofErr w:type="gramEnd"/>
      <w:r w:rsidRPr="003E385A">
        <w:rPr>
          <w:rFonts w:ascii="Times New Roman" w:hAnsi="Times New Roman" w:cs="Times New Roman"/>
          <w:sz w:val="16"/>
          <w:szCs w:val="16"/>
        </w:rPr>
        <w:t xml:space="preserve">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Pr="00FB4CC2"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FB4CC2">
        <w:rPr>
          <w:rFonts w:ascii="Times New Roman" w:hAnsi="Times New Roman" w:cs="Times New Roman"/>
          <w:sz w:val="16"/>
          <w:szCs w:val="16"/>
        </w:rPr>
        <w:t>This higher prevalence of vitamin D deficiency in darker-skinned individuals is thought to largely be due to increased melanin pigmentation, which absorbs significantly more radiation from sunlight and thereby reduces the available ultraviolet-B radiation that is needed to trigger natural vitamin D production in the skin.</w:t>
      </w:r>
    </w:p>
    <w:p w14:paraId="34760545" w14:textId="0F173478" w:rsidR="003E385A" w:rsidRDefault="003E385A" w:rsidP="003E385A">
      <w:pPr>
        <w:rPr>
          <w:rFonts w:ascii="Times New Roman" w:hAnsi="Times New Roman" w:cs="Times New Roman"/>
          <w:sz w:val="16"/>
          <w:szCs w:val="16"/>
        </w:rPr>
      </w:pPr>
      <w:r w:rsidRPr="00FB4CC2">
        <w:rPr>
          <w:rFonts w:ascii="Times New Roman" w:hAnsi="Times New Roman" w:cs="Times New Roman"/>
          <w:sz w:val="16"/>
          <w:szCs w:val="16"/>
        </w:rPr>
        <w:t>The potential role of vitamin D as a modulator of COVID-19 burden is further supported by our other significant finding regarding temperature, which suggests a protective effect of warmer climates. Several recent reports have also linked higher temperature to decreased virus spread, while others have found no significant effects.9-14 Here, we demonstrate an independent effect of temperature that results in reduced COVID-19 cases, but not mortality, across U.S. counties. If warmer temperatures do, in fact, play a role in mitigating disease spread, it is reasonable to expect a potential seasonal trend in global cases and mortality.</w:t>
      </w:r>
    </w:p>
    <w:p w14:paraId="1A89DD06" w14:textId="27F371E7"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1CB8312C" w14:textId="614333A8" w:rsidR="00B96C51" w:rsidRDefault="003E385A" w:rsidP="0037376A">
      <w:pPr>
        <w:rPr>
          <w:rFonts w:ascii="Times New Roman" w:hAnsi="Times New Roman" w:cs="Times New Roman"/>
          <w:sz w:val="16"/>
          <w:szCs w:val="16"/>
        </w:rPr>
      </w:pPr>
      <w:r>
        <w:rPr>
          <w:rFonts w:ascii="Times New Roman" w:hAnsi="Times New Roman" w:cs="Times New Roman"/>
          <w:sz w:val="16"/>
          <w:szCs w:val="16"/>
        </w:rPr>
        <w:t>(PAGE 11)</w:t>
      </w:r>
    </w:p>
    <w:p w14:paraId="6A21A997" w14:textId="49603358" w:rsidR="00B96C51" w:rsidRDefault="00B96C51" w:rsidP="0037376A">
      <w:pPr>
        <w:rPr>
          <w:rFonts w:ascii="Times New Roman" w:hAnsi="Times New Roman" w:cs="Times New Roman"/>
          <w:sz w:val="16"/>
          <w:szCs w:val="16"/>
        </w:rPr>
      </w:pPr>
      <w:r>
        <w:rPr>
          <w:rFonts w:ascii="Times New Roman" w:hAnsi="Times New Roman" w:cs="Times New Roman"/>
          <w:sz w:val="16"/>
          <w:szCs w:val="16"/>
        </w:rPr>
        <w:t>_____________________________________________________________________________________________________________________</w:t>
      </w:r>
    </w:p>
    <w:p w14:paraId="1DE733FD" w14:textId="55865002" w:rsidR="00B96C51" w:rsidRPr="00B96C51" w:rsidRDefault="00B96C51" w:rsidP="0037376A">
      <w:pPr>
        <w:rPr>
          <w:rFonts w:ascii="Times New Roman" w:hAnsi="Times New Roman" w:cs="Times New Roman"/>
          <w:sz w:val="16"/>
          <w:szCs w:val="16"/>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8AE0F22" wp14:editId="5FA17739">
            <wp:simplePos x="0" y="0"/>
            <wp:positionH relativeFrom="column">
              <wp:posOffset>0</wp:posOffset>
            </wp:positionH>
            <wp:positionV relativeFrom="paragraph">
              <wp:posOffset>0</wp:posOffset>
            </wp:positionV>
            <wp:extent cx="5943600" cy="3292475"/>
            <wp:effectExtent l="0" t="0" r="0" b="3175"/>
            <wp:wrapTopAndBottom/>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anchor>
        </w:drawing>
      </w:r>
    </w:p>
    <w:p w14:paraId="01203BA0" w14:textId="1FA9E324" w:rsidR="00B96C51" w:rsidRDefault="00E2681B" w:rsidP="0037376A">
      <w:pPr>
        <w:rPr>
          <w:rFonts w:ascii="Times New Roman" w:hAnsi="Times New Roman" w:cs="Times New Roman"/>
          <w:sz w:val="20"/>
          <w:szCs w:val="20"/>
        </w:rPr>
      </w:pPr>
      <w:r w:rsidRPr="00530FE7">
        <w:rPr>
          <w:rFonts w:ascii="Times New Roman" w:hAnsi="Times New Roman" w:cs="Times New Roman"/>
          <w:sz w:val="20"/>
          <w:szCs w:val="20"/>
        </w:rPr>
        <w:t xml:space="preserve">I must repeat the disclaimer that this depiction of fertility does not present the effect of the </w:t>
      </w:r>
      <w:r w:rsidR="004F1EC4" w:rsidRPr="00530FE7">
        <w:rPr>
          <w:rFonts w:ascii="Times New Roman" w:hAnsi="Times New Roman" w:cs="Times New Roman"/>
          <w:sz w:val="20"/>
          <w:szCs w:val="20"/>
        </w:rPr>
        <w:t>decline</w:t>
      </w:r>
      <w:r w:rsidRPr="00530FE7">
        <w:rPr>
          <w:rFonts w:ascii="Times New Roman" w:hAnsi="Times New Roman" w:cs="Times New Roman"/>
          <w:sz w:val="20"/>
          <w:szCs w:val="20"/>
        </w:rPr>
        <w:t xml:space="preserve"> in births experienced towards the end of 2020, </w:t>
      </w:r>
      <w:r w:rsidR="004F1EC4" w:rsidRPr="00530FE7">
        <w:rPr>
          <w:rFonts w:ascii="Times New Roman" w:hAnsi="Times New Roman" w:cs="Times New Roman"/>
          <w:sz w:val="20"/>
          <w:szCs w:val="20"/>
        </w:rPr>
        <w:t xml:space="preserve">which </w:t>
      </w:r>
      <w:r w:rsidRPr="00530FE7">
        <w:rPr>
          <w:rFonts w:ascii="Times New Roman" w:hAnsi="Times New Roman" w:cs="Times New Roman"/>
          <w:sz w:val="20"/>
          <w:szCs w:val="20"/>
        </w:rPr>
        <w:t>the Coronavirus</w:t>
      </w:r>
      <w:r w:rsidR="004F1EC4" w:rsidRPr="00530FE7">
        <w:rPr>
          <w:rFonts w:ascii="Times New Roman" w:hAnsi="Times New Roman" w:cs="Times New Roman"/>
          <w:sz w:val="20"/>
          <w:szCs w:val="20"/>
        </w:rPr>
        <w:t xml:space="preserve"> caused</w:t>
      </w:r>
      <w:r w:rsidRPr="00530FE7">
        <w:rPr>
          <w:rFonts w:ascii="Times New Roman" w:hAnsi="Times New Roman" w:cs="Times New Roman"/>
          <w:sz w:val="20"/>
          <w:szCs w:val="20"/>
        </w:rPr>
        <w:t xml:space="preserve">. </w:t>
      </w:r>
      <w:r w:rsidR="00343A9F" w:rsidRPr="00530FE7">
        <w:rPr>
          <w:rFonts w:ascii="Times New Roman" w:hAnsi="Times New Roman" w:cs="Times New Roman"/>
          <w:sz w:val="20"/>
          <w:szCs w:val="20"/>
        </w:rPr>
        <w:t>Drastic decreases or increases in fertility were rarely observed</w:t>
      </w:r>
      <w:r w:rsidRPr="00530FE7">
        <w:rPr>
          <w:rFonts w:ascii="Times New Roman" w:hAnsi="Times New Roman" w:cs="Times New Roman"/>
          <w:sz w:val="20"/>
          <w:szCs w:val="20"/>
        </w:rPr>
        <w:t xml:space="preserve"> if at all</w:t>
      </w:r>
      <w:r w:rsidR="00343A9F" w:rsidRPr="00530FE7">
        <w:rPr>
          <w:rFonts w:ascii="Times New Roman" w:hAnsi="Times New Roman" w:cs="Times New Roman"/>
          <w:sz w:val="20"/>
          <w:szCs w:val="20"/>
        </w:rPr>
        <w:t>.</w:t>
      </w:r>
      <w:r w:rsidRPr="00530FE7">
        <w:rPr>
          <w:rFonts w:ascii="Times New Roman" w:hAnsi="Times New Roman" w:cs="Times New Roman"/>
          <w:sz w:val="20"/>
          <w:szCs w:val="20"/>
        </w:rPr>
        <w:t xml:space="preserve"> The coastal regions are by-and-large </w:t>
      </w:r>
      <w:r w:rsidR="00CC2623">
        <w:rPr>
          <w:rFonts w:ascii="Times New Roman" w:hAnsi="Times New Roman" w:cs="Times New Roman"/>
          <w:sz w:val="20"/>
          <w:szCs w:val="20"/>
        </w:rPr>
        <w:t xml:space="preserve">represented with the darker shade of </w:t>
      </w:r>
      <w:r w:rsidRPr="00530FE7">
        <w:rPr>
          <w:rFonts w:ascii="Times New Roman" w:hAnsi="Times New Roman" w:cs="Times New Roman"/>
          <w:sz w:val="20"/>
          <w:szCs w:val="20"/>
        </w:rPr>
        <w:t>‘</w:t>
      </w:r>
      <w:r w:rsidR="004F1EC4" w:rsidRPr="00530FE7">
        <w:rPr>
          <w:rFonts w:ascii="Times New Roman" w:hAnsi="Times New Roman" w:cs="Times New Roman"/>
          <w:sz w:val="20"/>
          <w:szCs w:val="20"/>
        </w:rPr>
        <w:t>pink</w:t>
      </w:r>
      <w:r w:rsidRPr="00530FE7">
        <w:rPr>
          <w:rFonts w:ascii="Times New Roman" w:hAnsi="Times New Roman" w:cs="Times New Roman"/>
          <w:sz w:val="20"/>
          <w:szCs w:val="20"/>
        </w:rPr>
        <w:t>’</w:t>
      </w:r>
      <w:r w:rsidR="004F1EC4" w:rsidRPr="00530FE7">
        <w:rPr>
          <w:rFonts w:ascii="Times New Roman" w:hAnsi="Times New Roman" w:cs="Times New Roman"/>
          <w:sz w:val="20"/>
          <w:szCs w:val="20"/>
        </w:rPr>
        <w:t>, whereas</w:t>
      </w:r>
      <w:r w:rsidRPr="00530FE7">
        <w:rPr>
          <w:rFonts w:ascii="Times New Roman" w:hAnsi="Times New Roman" w:cs="Times New Roman"/>
          <w:sz w:val="20"/>
          <w:szCs w:val="20"/>
        </w:rPr>
        <w:t xml:space="preserve"> </w:t>
      </w:r>
      <w:r w:rsidR="004F1EC4" w:rsidRPr="00530FE7">
        <w:rPr>
          <w:rFonts w:ascii="Times New Roman" w:hAnsi="Times New Roman" w:cs="Times New Roman"/>
          <w:sz w:val="20"/>
          <w:szCs w:val="20"/>
        </w:rPr>
        <w:t>t</w:t>
      </w:r>
      <w:r w:rsidRPr="00530FE7">
        <w:rPr>
          <w:rFonts w:ascii="Times New Roman" w:hAnsi="Times New Roman" w:cs="Times New Roman"/>
          <w:sz w:val="20"/>
          <w:szCs w:val="20"/>
        </w:rPr>
        <w:t xml:space="preserve">he </w:t>
      </w:r>
      <w:r w:rsidR="00CC2623">
        <w:rPr>
          <w:rFonts w:ascii="Times New Roman" w:hAnsi="Times New Roman" w:cs="Times New Roman"/>
          <w:sz w:val="20"/>
          <w:szCs w:val="20"/>
        </w:rPr>
        <w:t>lighter-pink</w:t>
      </w:r>
      <w:r w:rsidRPr="00530FE7">
        <w:rPr>
          <w:rFonts w:ascii="Times New Roman" w:hAnsi="Times New Roman" w:cs="Times New Roman"/>
          <w:sz w:val="20"/>
          <w:szCs w:val="20"/>
        </w:rPr>
        <w:t xml:space="preserve"> distribution</w:t>
      </w:r>
      <w:r w:rsidR="00CC2623">
        <w:rPr>
          <w:rFonts w:ascii="Times New Roman" w:hAnsi="Times New Roman" w:cs="Times New Roman"/>
          <w:sz w:val="20"/>
          <w:szCs w:val="20"/>
        </w:rPr>
        <w:t xml:space="preserve"> that entails fertility growth</w:t>
      </w:r>
      <w:r w:rsidRPr="00530FE7">
        <w:rPr>
          <w:rFonts w:ascii="Times New Roman" w:hAnsi="Times New Roman" w:cs="Times New Roman"/>
          <w:sz w:val="20"/>
          <w:szCs w:val="20"/>
        </w:rPr>
        <w:t xml:space="preserve"> appears to be concentrated</w:t>
      </w:r>
      <w:r w:rsidR="00CC2623">
        <w:rPr>
          <w:rFonts w:ascii="Times New Roman" w:hAnsi="Times New Roman" w:cs="Times New Roman"/>
          <w:sz w:val="20"/>
          <w:szCs w:val="20"/>
        </w:rPr>
        <w:t xml:space="preserve"> by-and-large</w:t>
      </w:r>
      <w:r w:rsidRPr="00530FE7">
        <w:rPr>
          <w:rFonts w:ascii="Times New Roman" w:hAnsi="Times New Roman" w:cs="Times New Roman"/>
          <w:sz w:val="20"/>
          <w:szCs w:val="20"/>
        </w:rPr>
        <w:t xml:space="preserve"> in the </w:t>
      </w:r>
      <w:r w:rsidR="00CC2623">
        <w:rPr>
          <w:rFonts w:ascii="Times New Roman" w:hAnsi="Times New Roman" w:cs="Times New Roman"/>
          <w:sz w:val="20"/>
          <w:szCs w:val="20"/>
        </w:rPr>
        <w:t xml:space="preserve">Midwest and </w:t>
      </w:r>
      <w:r w:rsidR="004F1EC4" w:rsidRPr="00530FE7">
        <w:rPr>
          <w:rFonts w:ascii="Times New Roman" w:hAnsi="Times New Roman" w:cs="Times New Roman"/>
          <w:sz w:val="20"/>
          <w:szCs w:val="20"/>
        </w:rPr>
        <w:t>states that comprise the Rocky Mountains</w:t>
      </w:r>
      <w:r w:rsidRPr="00530FE7">
        <w:rPr>
          <w:rFonts w:ascii="Times New Roman" w:hAnsi="Times New Roman" w:cs="Times New Roman"/>
          <w:sz w:val="20"/>
          <w:szCs w:val="20"/>
        </w:rPr>
        <w:t xml:space="preserve">. </w:t>
      </w:r>
    </w:p>
    <w:p w14:paraId="59D4C4AF" w14:textId="77777777" w:rsidR="00F006C4" w:rsidRDefault="00F006C4" w:rsidP="0037376A">
      <w:pPr>
        <w:rPr>
          <w:rFonts w:ascii="Times New Roman" w:hAnsi="Times New Roman" w:cs="Times New Roman"/>
          <w:sz w:val="20"/>
          <w:szCs w:val="20"/>
        </w:rPr>
      </w:pPr>
    </w:p>
    <w:p w14:paraId="76A4F32B" w14:textId="07F3D77F" w:rsidR="00B96C51" w:rsidRPr="00530FE7" w:rsidRDefault="00C51CAA" w:rsidP="0037376A">
      <w:pPr>
        <w:rPr>
          <w:rFonts w:ascii="Times New Roman" w:hAnsi="Times New Roman" w:cs="Times New Roman"/>
          <w:sz w:val="20"/>
          <w:szCs w:val="20"/>
        </w:rPr>
      </w:pPr>
      <w:r w:rsidRPr="00C51CAA">
        <w:rPr>
          <w:rFonts w:ascii="Times New Roman" w:hAnsi="Times New Roman" w:cs="Times New Roman"/>
          <w:sz w:val="20"/>
          <w:szCs w:val="20"/>
        </w:rPr>
        <w:lastRenderedPageBreak/>
        <w:t xml:space="preserve">Zones of spotty improvements in mortality seem clustered within the inland western and mid-western regions. Although the effect of increased mortality can be observed in the states that comprise the Rocky Mountains and the Midwest, lower mortality rates seem practically exclusive to the </w:t>
      </w:r>
      <w:r w:rsidR="00F006C4">
        <w:rPr>
          <w:rFonts w:ascii="Times New Roman" w:hAnsi="Times New Roman" w:cs="Times New Roman"/>
          <w:sz w:val="20"/>
          <w:szCs w:val="20"/>
        </w:rPr>
        <w:t>direct center longitudinal line of the country (i.e., Texas, New Mexico, Nebraska, South Dakota, and North Dakota).</w:t>
      </w:r>
      <w:r w:rsidRPr="00C51CAA">
        <w:rPr>
          <w:rFonts w:ascii="Times New Roman" w:hAnsi="Times New Roman" w:cs="Times New Roman"/>
          <w:sz w:val="20"/>
          <w:szCs w:val="20"/>
        </w:rPr>
        <w:t xml:space="preserve"> To be more precise, the populated coastal borders </w:t>
      </w:r>
      <w:r w:rsidR="00B96C51">
        <w:rPr>
          <w:rFonts w:ascii="Times New Roman" w:hAnsi="Times New Roman" w:cs="Times New Roman"/>
          <w:noProof/>
          <w:sz w:val="20"/>
          <w:szCs w:val="20"/>
        </w:rPr>
        <w:drawing>
          <wp:anchor distT="0" distB="0" distL="114300" distR="114300" simplePos="0" relativeHeight="251659264" behindDoc="0" locked="0" layoutInCell="1" allowOverlap="1" wp14:anchorId="637B6BCB" wp14:editId="40745232">
            <wp:simplePos x="0" y="0"/>
            <wp:positionH relativeFrom="column">
              <wp:posOffset>0</wp:posOffset>
            </wp:positionH>
            <wp:positionV relativeFrom="paragraph">
              <wp:posOffset>2540</wp:posOffset>
            </wp:positionV>
            <wp:extent cx="5943600" cy="3355340"/>
            <wp:effectExtent l="0" t="0" r="0" b="0"/>
            <wp:wrapTopAndBottom/>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anchor>
        </w:drawing>
      </w:r>
      <w:r w:rsidR="00F006C4">
        <w:rPr>
          <w:rFonts w:ascii="Times New Roman" w:hAnsi="Times New Roman" w:cs="Times New Roman"/>
          <w:sz w:val="20"/>
          <w:szCs w:val="20"/>
        </w:rPr>
        <w:t xml:space="preserve"> saw a moderate increase in deaths from the years 2019 to 2020.</w:t>
      </w:r>
    </w:p>
    <w:p w14:paraId="35143CF3" w14:textId="77777777" w:rsidR="00E72D03" w:rsidRDefault="00E72D03" w:rsidP="0037376A">
      <w:pPr>
        <w:rPr>
          <w:rFonts w:ascii="Times New Roman" w:hAnsi="Times New Roman" w:cs="Times New Roman"/>
          <w:sz w:val="20"/>
          <w:szCs w:val="20"/>
        </w:rPr>
      </w:pPr>
    </w:p>
    <w:p w14:paraId="234A31CE" w14:textId="2C49400C" w:rsidR="00B96C51" w:rsidRPr="00530FE7" w:rsidRDefault="00B96C51" w:rsidP="0037376A">
      <w:pPr>
        <w:rPr>
          <w:rFonts w:ascii="Times New Roman" w:hAnsi="Times New Roman" w:cs="Times New Roman"/>
          <w:sz w:val="20"/>
          <w:szCs w:val="20"/>
        </w:rPr>
      </w:pPr>
      <w:r w:rsidRPr="00E72D03">
        <w:rPr>
          <w:rFonts w:ascii="Times New Roman" w:hAnsi="Times New Roman" w:cs="Times New Roman"/>
          <w:noProof/>
          <w:sz w:val="20"/>
          <w:szCs w:val="20"/>
          <w:highlight w:val="yellow"/>
        </w:rPr>
        <w:drawing>
          <wp:anchor distT="0" distB="0" distL="114300" distR="114300" simplePos="0" relativeHeight="251660288" behindDoc="0" locked="0" layoutInCell="1" allowOverlap="1" wp14:anchorId="6966CB2A" wp14:editId="69F038A8">
            <wp:simplePos x="0" y="0"/>
            <wp:positionH relativeFrom="column">
              <wp:posOffset>0</wp:posOffset>
            </wp:positionH>
            <wp:positionV relativeFrom="paragraph">
              <wp:posOffset>-3175</wp:posOffset>
            </wp:positionV>
            <wp:extent cx="5943600" cy="3330575"/>
            <wp:effectExtent l="0" t="0" r="0" b="3175"/>
            <wp:wrapTopAndBottom/>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anchor>
        </w:drawing>
      </w:r>
      <w:r w:rsidR="00E72D03" w:rsidRPr="00E72D03">
        <w:rPr>
          <w:rFonts w:ascii="Times New Roman" w:hAnsi="Times New Roman" w:cs="Times New Roman"/>
          <w:sz w:val="20"/>
          <w:szCs w:val="20"/>
          <w:highlight w:val="yellow"/>
        </w:rPr>
        <w:t>*NOT ENOUGH CONCLUSIVE DATA TO STATE THAT PEOPLE WERE FLEEING CITIES FOR AMENABLE AREAS*</w:t>
      </w:r>
      <w:r w:rsidR="00E72D03">
        <w:rPr>
          <w:rFonts w:ascii="Times New Roman" w:hAnsi="Times New Roman" w:cs="Times New Roman"/>
          <w:sz w:val="20"/>
          <w:szCs w:val="20"/>
        </w:rPr>
        <w:t xml:space="preserve"> </w:t>
      </w:r>
      <w:r w:rsidR="00E72D03" w:rsidRPr="004121DC">
        <w:rPr>
          <w:rFonts w:ascii="Times New Roman" w:hAnsi="Times New Roman" w:cs="Times New Roman"/>
          <w:sz w:val="20"/>
          <w:szCs w:val="20"/>
          <w:highlight w:val="yellow"/>
        </w:rPr>
        <w:t xml:space="preserve">SPATIAL AUTO CORRELATION </w:t>
      </w:r>
      <w:r w:rsidR="004121DC" w:rsidRPr="004121DC">
        <w:rPr>
          <w:rFonts w:ascii="Times New Roman" w:hAnsi="Times New Roman" w:cs="Times New Roman"/>
          <w:sz w:val="20"/>
          <w:szCs w:val="20"/>
          <w:highlight w:val="yellow"/>
        </w:rPr>
        <w:t>–</w:t>
      </w:r>
      <w:r w:rsidR="00E72D03" w:rsidRPr="004121DC">
        <w:rPr>
          <w:rFonts w:ascii="Times New Roman" w:hAnsi="Times New Roman" w:cs="Times New Roman"/>
          <w:sz w:val="20"/>
          <w:szCs w:val="20"/>
          <w:highlight w:val="yellow"/>
        </w:rPr>
        <w:t xml:space="preserve"> CLUSTERING</w:t>
      </w:r>
      <w:r w:rsidR="004121DC" w:rsidRPr="004121DC">
        <w:rPr>
          <w:rFonts w:ascii="Times New Roman" w:hAnsi="Times New Roman" w:cs="Times New Roman"/>
          <w:sz w:val="20"/>
          <w:szCs w:val="20"/>
          <w:highlight w:val="yellow"/>
        </w:rPr>
        <w:t xml:space="preserve"> – MORAN’S I</w:t>
      </w:r>
    </w:p>
    <w:p w14:paraId="7EC117B6" w14:textId="6C289B0B" w:rsidR="00BC1EBC" w:rsidRDefault="00965678" w:rsidP="0037376A">
      <w:pPr>
        <w:rPr>
          <w:rFonts w:ascii="Times New Roman" w:hAnsi="Times New Roman" w:cs="Times New Roman"/>
          <w:sz w:val="20"/>
          <w:szCs w:val="20"/>
        </w:rPr>
      </w:pPr>
      <w:r w:rsidRPr="00530FE7">
        <w:rPr>
          <w:rFonts w:ascii="Times New Roman" w:hAnsi="Times New Roman" w:cs="Times New Roman"/>
          <w:sz w:val="20"/>
          <w:szCs w:val="20"/>
        </w:rPr>
        <w:lastRenderedPageBreak/>
        <w:t>The trends of concentrated gain or loss of domestic migrants seems unable to</w:t>
      </w:r>
      <w:r w:rsidR="00FE08F6" w:rsidRPr="00530FE7">
        <w:rPr>
          <w:rFonts w:ascii="Times New Roman" w:hAnsi="Times New Roman" w:cs="Times New Roman"/>
          <w:sz w:val="20"/>
          <w:szCs w:val="20"/>
        </w:rPr>
        <w:t xml:space="preserve"> be</w:t>
      </w:r>
      <w:r w:rsidRPr="00530FE7">
        <w:rPr>
          <w:rFonts w:ascii="Times New Roman" w:hAnsi="Times New Roman" w:cs="Times New Roman"/>
          <w:sz w:val="20"/>
          <w:szCs w:val="20"/>
        </w:rPr>
        <w:t xml:space="preserve"> infer</w:t>
      </w:r>
      <w:r w:rsidR="00FE08F6" w:rsidRPr="00530FE7">
        <w:rPr>
          <w:rFonts w:ascii="Times New Roman" w:hAnsi="Times New Roman" w:cs="Times New Roman"/>
          <w:sz w:val="20"/>
          <w:szCs w:val="20"/>
        </w:rPr>
        <w:t>red</w:t>
      </w:r>
      <w:r w:rsidRPr="00530FE7">
        <w:rPr>
          <w:rFonts w:ascii="Times New Roman" w:hAnsi="Times New Roman" w:cs="Times New Roman"/>
          <w:sz w:val="20"/>
          <w:szCs w:val="20"/>
        </w:rPr>
        <w:t xml:space="preserve"> due to the practically </w:t>
      </w:r>
      <w:r w:rsidR="004F1EC4" w:rsidRPr="00530FE7">
        <w:rPr>
          <w:rFonts w:ascii="Times New Roman" w:hAnsi="Times New Roman" w:cs="Times New Roman"/>
          <w:sz w:val="20"/>
          <w:szCs w:val="20"/>
        </w:rPr>
        <w:t xml:space="preserve">random </w:t>
      </w:r>
      <w:r w:rsidRPr="00530FE7">
        <w:rPr>
          <w:rFonts w:ascii="Times New Roman" w:hAnsi="Times New Roman" w:cs="Times New Roman"/>
          <w:sz w:val="20"/>
          <w:szCs w:val="20"/>
        </w:rPr>
        <w:t>appearance-based distribution.</w:t>
      </w:r>
      <w:r w:rsidR="006F6015" w:rsidRPr="00530FE7">
        <w:rPr>
          <w:rFonts w:ascii="Times New Roman" w:hAnsi="Times New Roman" w:cs="Times New Roman"/>
          <w:sz w:val="20"/>
          <w:szCs w:val="20"/>
        </w:rPr>
        <w:t xml:space="preserve"> Although a vast decrease in domestic migration seems ubiquitous for the country,</w:t>
      </w:r>
      <w:r w:rsidR="00B557F4">
        <w:rPr>
          <w:rFonts w:ascii="Times New Roman" w:hAnsi="Times New Roman" w:cs="Times New Roman"/>
          <w:sz w:val="20"/>
          <w:szCs w:val="20"/>
        </w:rPr>
        <w:t xml:space="preserve"> there seems to be an equal apportionment of great increase contrasted with great decrease of domestic migrants per each state</w:t>
      </w:r>
      <w:r w:rsidR="006F6015" w:rsidRPr="00530FE7">
        <w:rPr>
          <w:rFonts w:ascii="Times New Roman" w:hAnsi="Times New Roman" w:cs="Times New Roman"/>
          <w:sz w:val="20"/>
          <w:szCs w:val="20"/>
        </w:rPr>
        <w:t>.</w:t>
      </w:r>
    </w:p>
    <w:p w14:paraId="4D2D0451" w14:textId="77C03DFC" w:rsidR="00B96C51" w:rsidRPr="00530FE7" w:rsidRDefault="00B96C51" w:rsidP="0037376A">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516F19F" wp14:editId="396AEA1E">
            <wp:simplePos x="0" y="0"/>
            <wp:positionH relativeFrom="column">
              <wp:posOffset>0</wp:posOffset>
            </wp:positionH>
            <wp:positionV relativeFrom="paragraph">
              <wp:posOffset>-4445</wp:posOffset>
            </wp:positionV>
            <wp:extent cx="5943600" cy="3274695"/>
            <wp:effectExtent l="0" t="0" r="0" b="1905"/>
            <wp:wrapTopAndBottom/>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4695"/>
                    </a:xfrm>
                    <a:prstGeom prst="rect">
                      <a:avLst/>
                    </a:prstGeom>
                  </pic:spPr>
                </pic:pic>
              </a:graphicData>
            </a:graphic>
          </wp:anchor>
        </w:drawing>
      </w:r>
    </w:p>
    <w:p w14:paraId="024A4316" w14:textId="592331FC" w:rsidR="006516EA" w:rsidRDefault="006516EA" w:rsidP="0037376A">
      <w:pPr>
        <w:rPr>
          <w:rFonts w:ascii="Times New Roman" w:hAnsi="Times New Roman" w:cs="Times New Roman"/>
          <w:sz w:val="20"/>
          <w:szCs w:val="20"/>
        </w:rPr>
      </w:pPr>
      <w:r>
        <w:rPr>
          <w:rFonts w:ascii="Times New Roman" w:hAnsi="Times New Roman" w:cs="Times New Roman"/>
          <w:sz w:val="20"/>
          <w:szCs w:val="20"/>
        </w:rPr>
        <w:t xml:space="preserve">Most U.S. counties experienced a slight increase or a stagnant rate of international migrancy from 2019 to 2020. In fact, counties that experienced a substantial decrease in international migration were increasingly decentralized and few-and-far-between. States within the northeastern and southwestern regions experienced minimal change while almost all other regions experienced a notable increase. However, this </w:t>
      </w:r>
      <w:r w:rsidR="002C1754">
        <w:rPr>
          <w:rFonts w:ascii="Times New Roman" w:hAnsi="Times New Roman" w:cs="Times New Roman"/>
          <w:sz w:val="20"/>
          <w:szCs w:val="20"/>
        </w:rPr>
        <w:t>map</w:t>
      </w:r>
      <w:r>
        <w:rPr>
          <w:rFonts w:ascii="Times New Roman" w:hAnsi="Times New Roman" w:cs="Times New Roman"/>
          <w:sz w:val="20"/>
          <w:szCs w:val="20"/>
        </w:rPr>
        <w:t xml:space="preserve"> possesses the most ‘N/A’ counties since some counties’ reports of international migration were incomplete or inaccurate.</w:t>
      </w:r>
    </w:p>
    <w:p w14:paraId="70899707" w14:textId="4181219F" w:rsidR="00387462" w:rsidRPr="00530FE7" w:rsidRDefault="00387462" w:rsidP="0037376A">
      <w:pPr>
        <w:rPr>
          <w:rFonts w:ascii="Times New Roman" w:hAnsi="Times New Roman" w:cs="Times New Roman"/>
          <w:sz w:val="20"/>
          <w:szCs w:val="20"/>
        </w:rPr>
      </w:pPr>
      <w:r w:rsidRPr="00387462">
        <w:rPr>
          <w:rFonts w:ascii="Times New Roman" w:hAnsi="Times New Roman" w:cs="Times New Roman"/>
          <w:sz w:val="20"/>
          <w:szCs w:val="20"/>
          <w:highlight w:val="yellow"/>
        </w:rPr>
        <w:t xml:space="preserve">Green means more international migrants in </w:t>
      </w:r>
      <w:proofErr w:type="gramStart"/>
      <w:r w:rsidRPr="00387462">
        <w:rPr>
          <w:rFonts w:ascii="Times New Roman" w:hAnsi="Times New Roman" w:cs="Times New Roman"/>
          <w:sz w:val="20"/>
          <w:szCs w:val="20"/>
          <w:highlight w:val="yellow"/>
        </w:rPr>
        <w:t>America?</w:t>
      </w:r>
      <w:proofErr w:type="gramEnd"/>
    </w:p>
    <w:p w14:paraId="61718679" w14:textId="5B40BB07" w:rsidR="00343A9F" w:rsidRPr="00530FE7" w:rsidRDefault="00343A9F" w:rsidP="0037376A">
      <w:pPr>
        <w:rPr>
          <w:rFonts w:ascii="Times New Roman" w:hAnsi="Times New Roman" w:cs="Times New Roman"/>
          <w:sz w:val="20"/>
          <w:szCs w:val="20"/>
        </w:rPr>
      </w:pPr>
    </w:p>
    <w:p w14:paraId="5D53EB09" w14:textId="66B6A290" w:rsidR="00343A9F" w:rsidRPr="00530FE7" w:rsidRDefault="00343A9F" w:rsidP="0037376A">
      <w:pPr>
        <w:rPr>
          <w:rFonts w:ascii="Times New Roman" w:hAnsi="Times New Roman" w:cs="Times New Roman"/>
          <w:b/>
          <w:bCs/>
          <w:sz w:val="20"/>
          <w:szCs w:val="20"/>
        </w:rPr>
      </w:pPr>
      <w:r w:rsidRPr="00530FE7">
        <w:rPr>
          <w:rFonts w:ascii="Times New Roman" w:hAnsi="Times New Roman" w:cs="Times New Roman"/>
          <w:b/>
          <w:bCs/>
          <w:sz w:val="20"/>
          <w:szCs w:val="20"/>
        </w:rPr>
        <w:t xml:space="preserve">‘Speculation’ </w:t>
      </w:r>
      <w:r w:rsidR="000E798F" w:rsidRPr="00530FE7">
        <w:rPr>
          <w:rFonts w:ascii="Times New Roman" w:hAnsi="Times New Roman" w:cs="Times New Roman"/>
          <w:b/>
          <w:bCs/>
          <w:sz w:val="20"/>
          <w:szCs w:val="20"/>
        </w:rPr>
        <w:t>S</w:t>
      </w:r>
      <w:r w:rsidRPr="00530FE7">
        <w:rPr>
          <w:rFonts w:ascii="Times New Roman" w:hAnsi="Times New Roman" w:cs="Times New Roman"/>
          <w:b/>
          <w:bCs/>
          <w:sz w:val="20"/>
          <w:szCs w:val="20"/>
        </w:rPr>
        <w:t>imilarities</w:t>
      </w:r>
      <w:r w:rsidR="000E798F" w:rsidRPr="00530FE7">
        <w:rPr>
          <w:rFonts w:ascii="Times New Roman" w:hAnsi="Times New Roman" w:cs="Times New Roman"/>
          <w:b/>
          <w:bCs/>
          <w:sz w:val="20"/>
          <w:szCs w:val="20"/>
        </w:rPr>
        <w:t xml:space="preserve"> and Differences</w:t>
      </w:r>
      <w:r w:rsidR="00BE7E8A" w:rsidRPr="00530FE7">
        <w:rPr>
          <w:rFonts w:ascii="Times New Roman" w:hAnsi="Times New Roman" w:cs="Times New Roman"/>
          <w:b/>
          <w:bCs/>
          <w:sz w:val="20"/>
          <w:szCs w:val="20"/>
        </w:rPr>
        <w:t xml:space="preserve"> (lacking in IRS data)</w:t>
      </w:r>
    </w:p>
    <w:p w14:paraId="2C10A90F" w14:textId="0ECF9B25" w:rsidR="00343A9F" w:rsidRDefault="006F6015" w:rsidP="0037376A">
      <w:pPr>
        <w:rPr>
          <w:rFonts w:ascii="Times New Roman" w:hAnsi="Times New Roman" w:cs="Times New Roman"/>
          <w:sz w:val="20"/>
          <w:szCs w:val="20"/>
        </w:rPr>
      </w:pPr>
      <w:r w:rsidRPr="00BE28F3">
        <w:rPr>
          <w:rFonts w:ascii="Times New Roman" w:hAnsi="Times New Roman" w:cs="Times New Roman"/>
          <w:sz w:val="20"/>
          <w:szCs w:val="20"/>
          <w:highlight w:val="yellow"/>
        </w:rPr>
        <w:t xml:space="preserve">From 2019 until the following year, the coastal regions of the United States have been depicted showing </w:t>
      </w:r>
      <w:r w:rsidR="00BE28F3" w:rsidRPr="00BE28F3">
        <w:rPr>
          <w:rFonts w:ascii="Times New Roman" w:hAnsi="Times New Roman" w:cs="Times New Roman"/>
          <w:sz w:val="20"/>
          <w:szCs w:val="20"/>
          <w:highlight w:val="yellow"/>
        </w:rPr>
        <w:t>a slightly negative</w:t>
      </w:r>
      <w:r w:rsidRPr="00BE28F3">
        <w:rPr>
          <w:rFonts w:ascii="Times New Roman" w:hAnsi="Times New Roman" w:cs="Times New Roman"/>
          <w:sz w:val="20"/>
          <w:szCs w:val="20"/>
          <w:highlight w:val="yellow"/>
        </w:rPr>
        <w:t xml:space="preserve"> change in fertility, a slight but notable increase in mortality, a polarized, but unable to be summarized trend in domestic migration, and a theme of less international migration.</w:t>
      </w:r>
      <w:r w:rsidR="000E798F" w:rsidRPr="00BE28F3">
        <w:rPr>
          <w:rFonts w:ascii="Times New Roman" w:hAnsi="Times New Roman" w:cs="Times New Roman"/>
          <w:sz w:val="20"/>
          <w:szCs w:val="20"/>
          <w:highlight w:val="yellow"/>
        </w:rPr>
        <w:t xml:space="preserve"> In contrast, the inland regions experienced an improved state </w:t>
      </w:r>
      <w:r w:rsidR="00817014" w:rsidRPr="00BE28F3">
        <w:rPr>
          <w:rFonts w:ascii="Times New Roman" w:hAnsi="Times New Roman" w:cs="Times New Roman"/>
          <w:sz w:val="20"/>
          <w:szCs w:val="20"/>
          <w:highlight w:val="yellow"/>
        </w:rPr>
        <w:t xml:space="preserve">of </w:t>
      </w:r>
      <w:r w:rsidR="00222D15" w:rsidRPr="00BE28F3">
        <w:rPr>
          <w:rFonts w:ascii="Times New Roman" w:hAnsi="Times New Roman" w:cs="Times New Roman"/>
          <w:sz w:val="20"/>
          <w:szCs w:val="20"/>
          <w:highlight w:val="yellow"/>
        </w:rPr>
        <w:t>fertility</w:t>
      </w:r>
      <w:r w:rsidR="00817014" w:rsidRPr="00BE28F3">
        <w:rPr>
          <w:rFonts w:ascii="Times New Roman" w:hAnsi="Times New Roman" w:cs="Times New Roman"/>
          <w:sz w:val="20"/>
          <w:szCs w:val="20"/>
          <w:highlight w:val="yellow"/>
        </w:rPr>
        <w:t>, while also incurring the greatest detriments and benefits regarding</w:t>
      </w:r>
      <w:r w:rsidR="00222D15" w:rsidRPr="00BE28F3">
        <w:rPr>
          <w:rFonts w:ascii="Times New Roman" w:hAnsi="Times New Roman" w:cs="Times New Roman"/>
          <w:sz w:val="20"/>
          <w:szCs w:val="20"/>
          <w:highlight w:val="yellow"/>
        </w:rPr>
        <w:t xml:space="preserve"> mortality. However, both international and domestic migration notably declined in the landlocked states, except for midwestern ‘pores’ of increased international migrancy.</w:t>
      </w:r>
    </w:p>
    <w:p w14:paraId="4D7F9602" w14:textId="74892575" w:rsidR="001001B3" w:rsidRDefault="001001B3" w:rsidP="0037376A">
      <w:pPr>
        <w:rPr>
          <w:rFonts w:ascii="Times New Roman" w:hAnsi="Times New Roman" w:cs="Times New Roman"/>
          <w:sz w:val="20"/>
          <w:szCs w:val="20"/>
        </w:rPr>
      </w:pPr>
      <w:r>
        <w:rPr>
          <w:rFonts w:ascii="Times New Roman" w:hAnsi="Times New Roman" w:cs="Times New Roman"/>
          <w:sz w:val="20"/>
          <w:szCs w:val="20"/>
        </w:rPr>
        <w:t>…</w:t>
      </w:r>
    </w:p>
    <w:p w14:paraId="18DCDAE9" w14:textId="6BA2586A" w:rsidR="001001B3" w:rsidRDefault="001001B3" w:rsidP="0037376A">
      <w:pPr>
        <w:rPr>
          <w:rFonts w:ascii="Times New Roman" w:hAnsi="Times New Roman" w:cs="Times New Roman"/>
          <w:sz w:val="20"/>
          <w:szCs w:val="20"/>
        </w:rPr>
      </w:pPr>
      <w:r w:rsidRPr="001001B3">
        <w:rPr>
          <w:rFonts w:ascii="Times New Roman" w:hAnsi="Times New Roman" w:cs="Times New Roman"/>
          <w:sz w:val="20"/>
          <w:szCs w:val="20"/>
          <w:highlight w:val="yellow"/>
        </w:rPr>
        <w:t>“</w:t>
      </w:r>
      <w:r w:rsidRPr="001001B3">
        <w:rPr>
          <w:rFonts w:ascii="Times New Roman" w:hAnsi="Times New Roman" w:cs="Times New Roman"/>
          <w:sz w:val="20"/>
          <w:szCs w:val="20"/>
          <w:highlight w:val="yellow"/>
        </w:rPr>
        <w:t>Florida could lose more than 2.5 million residents due to 1.8 m of SLR, while Texas could see nearly 1.5 million additional residents (Fig. 2). Additionally, nine states could see net losses in their populations due to SLR.</w:t>
      </w:r>
      <w:r w:rsidRPr="001001B3">
        <w:rPr>
          <w:rFonts w:ascii="Times New Roman" w:hAnsi="Times New Roman" w:cs="Times New Roman"/>
          <w:sz w:val="20"/>
          <w:szCs w:val="20"/>
          <w:highlight w:val="yellow"/>
        </w:rPr>
        <w:t>”</w:t>
      </w:r>
      <w:r>
        <w:rPr>
          <w:rFonts w:ascii="Times New Roman" w:hAnsi="Times New Roman" w:cs="Times New Roman"/>
          <w:sz w:val="20"/>
          <w:szCs w:val="20"/>
        </w:rPr>
        <w:t xml:space="preserve"> – Disagrees with </w:t>
      </w:r>
      <w:proofErr w:type="gramStart"/>
      <w:r>
        <w:rPr>
          <w:rFonts w:ascii="Times New Roman" w:hAnsi="Times New Roman" w:cs="Times New Roman"/>
          <w:sz w:val="20"/>
          <w:szCs w:val="20"/>
        </w:rPr>
        <w:t>map?</w:t>
      </w:r>
      <w:proofErr w:type="gramEnd"/>
    </w:p>
    <w:p w14:paraId="4E26D2B1" w14:textId="147CB244" w:rsidR="001001B3" w:rsidRPr="00530FE7" w:rsidRDefault="001001B3" w:rsidP="0037376A">
      <w:pPr>
        <w:rPr>
          <w:rFonts w:ascii="Times New Roman" w:hAnsi="Times New Roman" w:cs="Times New Roman"/>
          <w:sz w:val="20"/>
          <w:szCs w:val="20"/>
        </w:rPr>
      </w:pPr>
      <w:r w:rsidRPr="001001B3">
        <w:rPr>
          <w:rFonts w:ascii="Times New Roman" w:hAnsi="Times New Roman" w:cs="Times New Roman"/>
          <w:sz w:val="20"/>
          <w:szCs w:val="20"/>
          <w:highlight w:val="yellow"/>
        </w:rPr>
        <w:t>“</w:t>
      </w:r>
      <w:r w:rsidRPr="001001B3">
        <w:rPr>
          <w:rFonts w:ascii="Times New Roman" w:hAnsi="Times New Roman" w:cs="Times New Roman"/>
          <w:sz w:val="20"/>
          <w:szCs w:val="20"/>
          <w:highlight w:val="yellow"/>
        </w:rPr>
        <w:t xml:space="preserve">For many destinations, such as Riverside California, Phoenix Arizona, Las Vegas Nevada, and Atlanta Georgia, already experiencing water management and growth management challenges, the SLR migrants who wash across </w:t>
      </w:r>
      <w:r w:rsidRPr="001001B3">
        <w:rPr>
          <w:rFonts w:ascii="Times New Roman" w:hAnsi="Times New Roman" w:cs="Times New Roman"/>
          <w:sz w:val="20"/>
          <w:szCs w:val="20"/>
          <w:highlight w:val="yellow"/>
        </w:rPr>
        <w:lastRenderedPageBreak/>
        <w:t>the landscape over the coming century could place undue burden in these places if accommodation strategies are left unplanned. Studies of migration impacts do not solve the challenges in these areas, but rather reveal a more holistic understanding of SLR impacts and needed interventions.</w:t>
      </w:r>
      <w:r w:rsidRPr="001001B3">
        <w:rPr>
          <w:rFonts w:ascii="Times New Roman" w:hAnsi="Times New Roman" w:cs="Times New Roman"/>
          <w:sz w:val="20"/>
          <w:szCs w:val="20"/>
          <w:highlight w:val="yellow"/>
        </w:rPr>
        <w:t>”</w:t>
      </w:r>
      <w:r>
        <w:rPr>
          <w:rFonts w:ascii="Times New Roman" w:hAnsi="Times New Roman" w:cs="Times New Roman"/>
          <w:sz w:val="20"/>
          <w:szCs w:val="20"/>
        </w:rPr>
        <w:t xml:space="preserve"> – Disagrees with </w:t>
      </w:r>
      <w:proofErr w:type="gramStart"/>
      <w:r>
        <w:rPr>
          <w:rFonts w:ascii="Times New Roman" w:hAnsi="Times New Roman" w:cs="Times New Roman"/>
          <w:sz w:val="20"/>
          <w:szCs w:val="20"/>
        </w:rPr>
        <w:t>map?</w:t>
      </w:r>
      <w:proofErr w:type="gramEnd"/>
    </w:p>
    <w:p w14:paraId="6EC07FDA" w14:textId="69F5C94D" w:rsidR="004F5FD7" w:rsidRPr="00530FE7" w:rsidRDefault="004F5FD7" w:rsidP="0037376A">
      <w:pPr>
        <w:rPr>
          <w:rFonts w:ascii="Times New Roman" w:hAnsi="Times New Roman" w:cs="Times New Roman"/>
          <w:sz w:val="20"/>
          <w:szCs w:val="20"/>
        </w:rPr>
      </w:pPr>
    </w:p>
    <w:p w14:paraId="15387999" w14:textId="11941774" w:rsidR="004F5FD7" w:rsidRPr="00530FE7" w:rsidRDefault="004F5FD7" w:rsidP="0037376A">
      <w:pPr>
        <w:rPr>
          <w:rFonts w:ascii="Times New Roman" w:hAnsi="Times New Roman" w:cs="Times New Roman"/>
          <w:sz w:val="20"/>
          <w:szCs w:val="20"/>
        </w:rPr>
      </w:pPr>
      <w:r w:rsidRPr="00530FE7">
        <w:rPr>
          <w:rFonts w:ascii="Times New Roman" w:hAnsi="Times New Roman" w:cs="Times New Roman"/>
          <w:sz w:val="20"/>
          <w:szCs w:val="20"/>
        </w:rPr>
        <w:t xml:space="preserve">*Age? Employment? COVID </w:t>
      </w:r>
      <w:proofErr w:type="gramStart"/>
      <w:r w:rsidRPr="00530FE7">
        <w:rPr>
          <w:rFonts w:ascii="Times New Roman" w:hAnsi="Times New Roman" w:cs="Times New Roman"/>
          <w:sz w:val="20"/>
          <w:szCs w:val="20"/>
        </w:rPr>
        <w:t>Rates?*</w:t>
      </w:r>
      <w:proofErr w:type="gramEnd"/>
    </w:p>
    <w:p w14:paraId="79547482" w14:textId="50891288" w:rsidR="004F5FD7" w:rsidRPr="00530FE7" w:rsidRDefault="004F5FD7" w:rsidP="004F5FD7">
      <w:pPr>
        <w:rPr>
          <w:rFonts w:ascii="Times New Roman" w:hAnsi="Times New Roman" w:cs="Times New Roman"/>
          <w:sz w:val="20"/>
          <w:szCs w:val="20"/>
        </w:rPr>
      </w:pPr>
      <w:r w:rsidRPr="00530FE7">
        <w:rPr>
          <w:rFonts w:ascii="Times New Roman" w:hAnsi="Times New Roman" w:cs="Times New Roman"/>
          <w:sz w:val="20"/>
          <w:szCs w:val="20"/>
        </w:rPr>
        <w:t>“In short, MSAs with relatively large numbers of older residents are clearly heterogeneous with respect to location, to the demographic and economic forces that brought about this type of age structure, and ultimately to their recorded rate of population growth during the most recent intercensal period.”</w:t>
      </w:r>
    </w:p>
    <w:p w14:paraId="5622EACC" w14:textId="3F5A91AF" w:rsidR="0015224D" w:rsidRPr="00531FFC" w:rsidRDefault="0015224D" w:rsidP="0037376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64A409A" w14:textId="77777777" w:rsidR="002A7C6C" w:rsidRDefault="002A7C6C" w:rsidP="00E9707C">
      <w:pPr>
        <w:jc w:val="center"/>
        <w:rPr>
          <w:rFonts w:ascii="Times New Roman" w:hAnsi="Times New Roman" w:cs="Times New Roman"/>
          <w:b/>
          <w:bCs/>
          <w:sz w:val="24"/>
          <w:szCs w:val="24"/>
        </w:rPr>
      </w:pPr>
    </w:p>
    <w:p w14:paraId="20454EEC" w14:textId="77777777" w:rsidR="002A7C6C" w:rsidRDefault="002A7C6C" w:rsidP="00E9707C">
      <w:pPr>
        <w:jc w:val="center"/>
        <w:rPr>
          <w:rFonts w:ascii="Times New Roman" w:hAnsi="Times New Roman" w:cs="Times New Roman"/>
          <w:b/>
          <w:bCs/>
          <w:sz w:val="24"/>
          <w:szCs w:val="24"/>
        </w:rPr>
      </w:pPr>
    </w:p>
    <w:p w14:paraId="6BBBFF75" w14:textId="799D3D4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t>Sources</w:t>
      </w:r>
    </w:p>
    <w:p w14:paraId="5FDDBA42" w14:textId="076A0790" w:rsidR="00A72DAC" w:rsidRDefault="00A72DAC" w:rsidP="0037376A">
      <w:pPr>
        <w:rPr>
          <w:rFonts w:ascii="Times New Roman" w:hAnsi="Times New Roman" w:cs="Times New Roman"/>
          <w:sz w:val="24"/>
          <w:szCs w:val="24"/>
        </w:rPr>
      </w:pPr>
      <w:proofErr w:type="spellStart"/>
      <w:r w:rsidRPr="00A72DAC">
        <w:rPr>
          <w:rFonts w:ascii="Times New Roman" w:hAnsi="Times New Roman" w:cs="Times New Roman"/>
          <w:sz w:val="24"/>
          <w:szCs w:val="24"/>
        </w:rPr>
        <w:t>DeWaard</w:t>
      </w:r>
      <w:proofErr w:type="spellEnd"/>
      <w:r w:rsidRPr="00A72DAC">
        <w:rPr>
          <w:rFonts w:ascii="Times New Roman" w:hAnsi="Times New Roman" w:cs="Times New Roman"/>
          <w:sz w:val="24"/>
          <w:szCs w:val="24"/>
        </w:rPr>
        <w:t xml:space="preserve">, J., </w:t>
      </w:r>
      <w:proofErr w:type="spellStart"/>
      <w:r w:rsidRPr="00A72DAC">
        <w:rPr>
          <w:rFonts w:ascii="Times New Roman" w:hAnsi="Times New Roman" w:cs="Times New Roman"/>
          <w:sz w:val="24"/>
          <w:szCs w:val="24"/>
        </w:rPr>
        <w:t>Fussell</w:t>
      </w:r>
      <w:proofErr w:type="spellEnd"/>
      <w:r w:rsidRPr="00A72DAC">
        <w:rPr>
          <w:rFonts w:ascii="Times New Roman" w:hAnsi="Times New Roman" w:cs="Times New Roman"/>
          <w:sz w:val="24"/>
          <w:szCs w:val="24"/>
        </w:rPr>
        <w:t>,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FE0492">
        <w:rPr>
          <w:rFonts w:ascii="Times New Roman" w:hAnsi="Times New Roman" w:cs="Times New Roman"/>
          <w:sz w:val="24"/>
          <w:szCs w:val="24"/>
        </w:rPr>
        <w:t>Immunology</w:t>
      </w:r>
      <w:proofErr w:type="gramEnd"/>
      <w:r w:rsidRPr="00FE0492">
        <w:rPr>
          <w:rFonts w:ascii="Times New Roman" w:hAnsi="Times New Roman" w:cs="Times New Roman"/>
          <w:sz w:val="24"/>
          <w:szCs w:val="24"/>
        </w:rPr>
        <w:t xml:space="preserve">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 xml:space="preserve">Li, A. Y., Hannah, T. C., Durbin, J., Dreher, N., McAuley, F. M., </w:t>
      </w:r>
      <w:proofErr w:type="spellStart"/>
      <w:r w:rsidRPr="009A7B5C">
        <w:rPr>
          <w:rFonts w:ascii="Times New Roman" w:hAnsi="Times New Roman" w:cs="Times New Roman"/>
          <w:sz w:val="24"/>
          <w:szCs w:val="24"/>
        </w:rPr>
        <w:t>Marayati</w:t>
      </w:r>
      <w:proofErr w:type="spellEnd"/>
      <w:r w:rsidRPr="009A7B5C">
        <w:rPr>
          <w:rFonts w:ascii="Times New Roman" w:hAnsi="Times New Roman" w:cs="Times New Roman"/>
          <w:sz w:val="24"/>
          <w:szCs w:val="24"/>
        </w:rPr>
        <w:t xml:space="preserve">, N. F., ... &amp; </w:t>
      </w:r>
      <w:proofErr w:type="spellStart"/>
      <w:r w:rsidRPr="009A7B5C">
        <w:rPr>
          <w:rFonts w:ascii="Times New Roman" w:hAnsi="Times New Roman" w:cs="Times New Roman"/>
          <w:sz w:val="24"/>
          <w:szCs w:val="24"/>
        </w:rPr>
        <w:t>Choudhri</w:t>
      </w:r>
      <w:proofErr w:type="spellEnd"/>
      <w:r w:rsidRPr="009A7B5C">
        <w:rPr>
          <w:rFonts w:ascii="Times New Roman" w:hAnsi="Times New Roman" w:cs="Times New Roman"/>
          <w:sz w:val="24"/>
          <w:szCs w:val="24"/>
        </w:rPr>
        <w:t xml:space="preserve">, T. F. (2020). Multivariate analysis of factors affecting COVID-19 case and death rate in US Counties: the significant effects of Black race and temperature. </w:t>
      </w:r>
      <w:proofErr w:type="spellStart"/>
      <w:r w:rsidRPr="009A7B5C">
        <w:rPr>
          <w:rFonts w:ascii="Times New Roman" w:hAnsi="Times New Roman" w:cs="Times New Roman"/>
          <w:sz w:val="24"/>
          <w:szCs w:val="24"/>
        </w:rPr>
        <w:t>medRxiv</w:t>
      </w:r>
      <w:proofErr w:type="spellEnd"/>
      <w:r w:rsidRPr="009A7B5C">
        <w:rPr>
          <w:rFonts w:ascii="Times New Roman" w:hAnsi="Times New Roman" w:cs="Times New Roman"/>
          <w:sz w:val="24"/>
          <w:szCs w:val="24"/>
        </w:rPr>
        <w:t>.</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A0C77"/>
    <w:rsid w:val="000D083E"/>
    <w:rsid w:val="000E798F"/>
    <w:rsid w:val="001001B3"/>
    <w:rsid w:val="00102CA1"/>
    <w:rsid w:val="001111B4"/>
    <w:rsid w:val="00113DA3"/>
    <w:rsid w:val="00114102"/>
    <w:rsid w:val="00121197"/>
    <w:rsid w:val="0012767C"/>
    <w:rsid w:val="001457ED"/>
    <w:rsid w:val="0015224D"/>
    <w:rsid w:val="00157DFC"/>
    <w:rsid w:val="00161CBC"/>
    <w:rsid w:val="0018035A"/>
    <w:rsid w:val="001E4C21"/>
    <w:rsid w:val="001E70A7"/>
    <w:rsid w:val="00203149"/>
    <w:rsid w:val="002051E2"/>
    <w:rsid w:val="00216CC1"/>
    <w:rsid w:val="00222D15"/>
    <w:rsid w:val="00222FD8"/>
    <w:rsid w:val="00234271"/>
    <w:rsid w:val="00235A1C"/>
    <w:rsid w:val="0025397E"/>
    <w:rsid w:val="00282DA2"/>
    <w:rsid w:val="00290E1E"/>
    <w:rsid w:val="002A7C6C"/>
    <w:rsid w:val="002C1754"/>
    <w:rsid w:val="002D5A9A"/>
    <w:rsid w:val="002E78BE"/>
    <w:rsid w:val="0030163F"/>
    <w:rsid w:val="00304F39"/>
    <w:rsid w:val="00312FA2"/>
    <w:rsid w:val="00343A9F"/>
    <w:rsid w:val="00354073"/>
    <w:rsid w:val="0037376A"/>
    <w:rsid w:val="00375115"/>
    <w:rsid w:val="003824A8"/>
    <w:rsid w:val="00387462"/>
    <w:rsid w:val="003A106B"/>
    <w:rsid w:val="003E04C4"/>
    <w:rsid w:val="003E1664"/>
    <w:rsid w:val="003E1EB6"/>
    <w:rsid w:val="003E385A"/>
    <w:rsid w:val="00406436"/>
    <w:rsid w:val="004121DC"/>
    <w:rsid w:val="004124ED"/>
    <w:rsid w:val="00413F08"/>
    <w:rsid w:val="00426BF4"/>
    <w:rsid w:val="00426DF3"/>
    <w:rsid w:val="00434064"/>
    <w:rsid w:val="00465AA8"/>
    <w:rsid w:val="00477C97"/>
    <w:rsid w:val="004908CE"/>
    <w:rsid w:val="004A0B60"/>
    <w:rsid w:val="004A2FE0"/>
    <w:rsid w:val="004B3859"/>
    <w:rsid w:val="004D2CD0"/>
    <w:rsid w:val="004F1EC4"/>
    <w:rsid w:val="004F5FD7"/>
    <w:rsid w:val="00524F48"/>
    <w:rsid w:val="00530FE7"/>
    <w:rsid w:val="00531FFC"/>
    <w:rsid w:val="00537C49"/>
    <w:rsid w:val="005513EC"/>
    <w:rsid w:val="00552C95"/>
    <w:rsid w:val="00567F83"/>
    <w:rsid w:val="00572FAA"/>
    <w:rsid w:val="00584537"/>
    <w:rsid w:val="005B33ED"/>
    <w:rsid w:val="005B3D1E"/>
    <w:rsid w:val="005C2B74"/>
    <w:rsid w:val="005E106F"/>
    <w:rsid w:val="005F3360"/>
    <w:rsid w:val="005F6677"/>
    <w:rsid w:val="00602E00"/>
    <w:rsid w:val="00602FF7"/>
    <w:rsid w:val="00615049"/>
    <w:rsid w:val="00623EE5"/>
    <w:rsid w:val="006516EA"/>
    <w:rsid w:val="00655C4B"/>
    <w:rsid w:val="006625BB"/>
    <w:rsid w:val="006737C1"/>
    <w:rsid w:val="00680399"/>
    <w:rsid w:val="006845EE"/>
    <w:rsid w:val="00687C4E"/>
    <w:rsid w:val="006953BF"/>
    <w:rsid w:val="006E0AA4"/>
    <w:rsid w:val="006E485C"/>
    <w:rsid w:val="006F0EE2"/>
    <w:rsid w:val="006F6015"/>
    <w:rsid w:val="006F68FA"/>
    <w:rsid w:val="0070679B"/>
    <w:rsid w:val="0073633D"/>
    <w:rsid w:val="00737F3C"/>
    <w:rsid w:val="00760704"/>
    <w:rsid w:val="007668CD"/>
    <w:rsid w:val="00766A9B"/>
    <w:rsid w:val="007A4979"/>
    <w:rsid w:val="007A681A"/>
    <w:rsid w:val="007F11B1"/>
    <w:rsid w:val="00817014"/>
    <w:rsid w:val="0085499B"/>
    <w:rsid w:val="008A27F4"/>
    <w:rsid w:val="008A6C46"/>
    <w:rsid w:val="0090708C"/>
    <w:rsid w:val="00965678"/>
    <w:rsid w:val="00970758"/>
    <w:rsid w:val="00980D9C"/>
    <w:rsid w:val="009A6879"/>
    <w:rsid w:val="009A70D1"/>
    <w:rsid w:val="009A7B5C"/>
    <w:rsid w:val="009B4265"/>
    <w:rsid w:val="009B4F85"/>
    <w:rsid w:val="009C248D"/>
    <w:rsid w:val="009D6A0F"/>
    <w:rsid w:val="00A070F5"/>
    <w:rsid w:val="00A14FB1"/>
    <w:rsid w:val="00A72DAC"/>
    <w:rsid w:val="00A8163C"/>
    <w:rsid w:val="00AB3432"/>
    <w:rsid w:val="00AB6443"/>
    <w:rsid w:val="00AC545C"/>
    <w:rsid w:val="00AC6BA5"/>
    <w:rsid w:val="00AD0EEF"/>
    <w:rsid w:val="00B178F7"/>
    <w:rsid w:val="00B30BBB"/>
    <w:rsid w:val="00B32C40"/>
    <w:rsid w:val="00B41B6C"/>
    <w:rsid w:val="00B51D11"/>
    <w:rsid w:val="00B557F4"/>
    <w:rsid w:val="00B90238"/>
    <w:rsid w:val="00B934BC"/>
    <w:rsid w:val="00B96C51"/>
    <w:rsid w:val="00BA37DF"/>
    <w:rsid w:val="00BC1EBC"/>
    <w:rsid w:val="00BC7AC7"/>
    <w:rsid w:val="00BE28F3"/>
    <w:rsid w:val="00BE7E8A"/>
    <w:rsid w:val="00C3239F"/>
    <w:rsid w:val="00C51CAA"/>
    <w:rsid w:val="00C52633"/>
    <w:rsid w:val="00C6719B"/>
    <w:rsid w:val="00C86739"/>
    <w:rsid w:val="00CB2541"/>
    <w:rsid w:val="00CC1736"/>
    <w:rsid w:val="00CC2623"/>
    <w:rsid w:val="00CD2F71"/>
    <w:rsid w:val="00CE13F3"/>
    <w:rsid w:val="00D122F5"/>
    <w:rsid w:val="00D7205D"/>
    <w:rsid w:val="00D80529"/>
    <w:rsid w:val="00DA2C95"/>
    <w:rsid w:val="00DA5E6D"/>
    <w:rsid w:val="00DD4A6A"/>
    <w:rsid w:val="00DE0B27"/>
    <w:rsid w:val="00E02BCA"/>
    <w:rsid w:val="00E110FF"/>
    <w:rsid w:val="00E2681B"/>
    <w:rsid w:val="00E35769"/>
    <w:rsid w:val="00E57904"/>
    <w:rsid w:val="00E72D03"/>
    <w:rsid w:val="00E72EB0"/>
    <w:rsid w:val="00E8678B"/>
    <w:rsid w:val="00E9707C"/>
    <w:rsid w:val="00EA020B"/>
    <w:rsid w:val="00EB3EF4"/>
    <w:rsid w:val="00ED0807"/>
    <w:rsid w:val="00ED3906"/>
    <w:rsid w:val="00F006C4"/>
    <w:rsid w:val="00F101D7"/>
    <w:rsid w:val="00F10F53"/>
    <w:rsid w:val="00F240EB"/>
    <w:rsid w:val="00F3532A"/>
    <w:rsid w:val="00F4558A"/>
    <w:rsid w:val="00F6520F"/>
    <w:rsid w:val="00F808C4"/>
    <w:rsid w:val="00FA6428"/>
    <w:rsid w:val="00FB4CC2"/>
    <w:rsid w:val="00FC4284"/>
    <w:rsid w:val="00FE0492"/>
    <w:rsid w:val="00FE08F6"/>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TotalTime>
  <Pages>13</Pages>
  <Words>5055</Words>
  <Characters>28815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110</cp:revision>
  <dcterms:created xsi:type="dcterms:W3CDTF">2021-05-17T00:06:00Z</dcterms:created>
  <dcterms:modified xsi:type="dcterms:W3CDTF">2021-07-19T14:06:00Z</dcterms:modified>
</cp:coreProperties>
</file>