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13F5482"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xml:space="preserve">. However, my analysis does not account for the NCHS’s data for the past year since its completion is lagged for the next two years. Furthermore, statistics </w:t>
      </w:r>
      <w:r w:rsidR="00E8678B">
        <w:rPr>
          <w:rFonts w:ascii="Times New Roman" w:hAnsi="Times New Roman" w:cs="Times New Roman"/>
          <w:sz w:val="24"/>
          <w:szCs w:val="24"/>
        </w:rPr>
        <w:t xml:space="preserve">that are verified by the Census </w:t>
      </w:r>
      <w:r w:rsidR="00ED0807">
        <w:rPr>
          <w:rFonts w:ascii="Times New Roman" w:hAnsi="Times New Roman" w:cs="Times New Roman"/>
          <w:sz w:val="24"/>
          <w:szCs w:val="24"/>
        </w:rPr>
        <w:t>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71E4FDC9"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 xml:space="preserve">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w:t>
      </w:r>
      <w:r w:rsidR="00E72EB0">
        <w:rPr>
          <w:rFonts w:ascii="Times New Roman" w:hAnsi="Times New Roman" w:cs="Times New Roman"/>
          <w:sz w:val="24"/>
          <w:szCs w:val="24"/>
        </w:rPr>
        <w:t xml:space="preserve">that is </w:t>
      </w:r>
      <w:r w:rsidRPr="00531FFC">
        <w:rPr>
          <w:rFonts w:ascii="Times New Roman" w:hAnsi="Times New Roman" w:cs="Times New Roman"/>
          <w:sz w:val="24"/>
          <w:szCs w:val="24"/>
        </w:rPr>
        <w:t>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580D0962"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w:t>
      </w:r>
      <w:r w:rsidR="00552C95">
        <w:rPr>
          <w:rFonts w:ascii="Times New Roman" w:hAnsi="Times New Roman" w:cs="Times New Roman"/>
          <w:sz w:val="24"/>
          <w:szCs w:val="24"/>
        </w:rPr>
        <w:lastRenderedPageBreak/>
        <w:t>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the two </w:t>
      </w:r>
      <w:r w:rsidR="00C6719B">
        <w:rPr>
          <w:rFonts w:ascii="Times New Roman" w:hAnsi="Times New Roman" w:cs="Times New Roman"/>
          <w:sz w:val="24"/>
          <w:szCs w:val="24"/>
        </w:rPr>
        <w:t xml:space="preserve">sub-national </w:t>
      </w:r>
      <w:r w:rsidR="00F240EB">
        <w:rPr>
          <w:rFonts w:ascii="Times New Roman" w:hAnsi="Times New Roman" w:cs="Times New Roman"/>
          <w:sz w:val="24"/>
          <w:szCs w:val="24"/>
        </w:rPr>
        <w:t xml:space="preserve">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7026A963"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r w:rsidR="00426DF3">
        <w:rPr>
          <w:rFonts w:ascii="Times New Roman" w:hAnsi="Times New Roman" w:cs="Times New Roman"/>
          <w:sz w:val="24"/>
          <w:szCs w:val="24"/>
          <w:highlight w:val="yellow"/>
        </w:rPr>
        <w:t xml:space="preserve"> (i.e</w:t>
      </w:r>
      <w:r w:rsidR="00426DF3" w:rsidRPr="00426DF3">
        <w:rPr>
          <w:rFonts w:ascii="Times New Roman" w:hAnsi="Times New Roman" w:cs="Times New Roman"/>
          <w:sz w:val="24"/>
          <w:szCs w:val="24"/>
          <w:highlight w:val="yellow"/>
        </w:rPr>
        <w:t>., most articles were medicine-related or inaccessible for birth rate-related scholarly sources)</w:t>
      </w:r>
      <w:r w:rsidR="009A7B5C">
        <w:rPr>
          <w:rFonts w:ascii="Times New Roman" w:hAnsi="Times New Roman" w:cs="Times New Roman"/>
          <w:sz w:val="24"/>
          <w:szCs w:val="24"/>
          <w:highlight w:val="yellow"/>
        </w:rPr>
        <w:t xml:space="preserve"> new source for death rates involving black race and temperature?</w:t>
      </w:r>
    </w:p>
    <w:p w14:paraId="416DB659" w14:textId="141F0E94"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r w:rsidR="002D5A9A">
        <w:rPr>
          <w:rFonts w:ascii="Times New Roman" w:hAnsi="Times New Roman" w:cs="Times New Roman"/>
          <w:sz w:val="24"/>
          <w:szCs w:val="24"/>
          <w:highlight w:val="yellow"/>
        </w:rPr>
        <w:t xml:space="preserve"> … Latin and central American / Brazil and French Guinea not … only ethnicity in the U.S. that is collected … includes white Hispanic, black Hispanic, etc.</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62D01F96"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w:t>
      </w:r>
      <w:r w:rsidR="00114102">
        <w:rPr>
          <w:rFonts w:ascii="Times New Roman" w:hAnsi="Times New Roman" w:cs="Times New Roman"/>
          <w:sz w:val="24"/>
          <w:szCs w:val="24"/>
        </w:rPr>
        <w:t>preliminary</w:t>
      </w:r>
      <w:r>
        <w:rPr>
          <w:rFonts w:ascii="Times New Roman" w:hAnsi="Times New Roman" w:cs="Times New Roman"/>
          <w:sz w:val="24"/>
          <w:szCs w:val="24"/>
        </w:rPr>
        <w:t xml:space="preserve"> analysis </w:t>
      </w:r>
      <w:r w:rsidR="00114102">
        <w:rPr>
          <w:rFonts w:ascii="Times New Roman" w:hAnsi="Times New Roman" w:cs="Times New Roman"/>
          <w:sz w:val="24"/>
          <w:szCs w:val="24"/>
        </w:rPr>
        <w:t xml:space="preserve">involving statistics </w:t>
      </w:r>
      <w:r>
        <w:rPr>
          <w:rFonts w:ascii="Times New Roman" w:hAnsi="Times New Roman" w:cs="Times New Roman"/>
          <w:sz w:val="24"/>
          <w:szCs w:val="24"/>
        </w:rPr>
        <w:t xml:space="preserve">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 xml:space="preserve">Medicare recipients, all use differing input data and methodology. Thus, the Census must adjust their final population estimates to be consistent, both geographically and </w:t>
      </w:r>
      <w:r>
        <w:rPr>
          <w:rFonts w:ascii="Times New Roman" w:hAnsi="Times New Roman" w:cs="Times New Roman"/>
          <w:sz w:val="24"/>
          <w:szCs w:val="24"/>
        </w:rPr>
        <w:lastRenderedPageBreak/>
        <w:t>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4C21D418" w14:textId="3D18C01F" w:rsidR="00FE0492" w:rsidRDefault="00A8163C" w:rsidP="003824A8">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798F3402" w14:textId="77777777" w:rsidR="003824A8" w:rsidRPr="003824A8" w:rsidRDefault="003824A8" w:rsidP="003824A8">
      <w:pPr>
        <w:rPr>
          <w:rFonts w:ascii="Times New Roman" w:hAnsi="Times New Roman" w:cs="Times New Roman"/>
          <w:sz w:val="16"/>
          <w:szCs w:val="16"/>
        </w:rPr>
      </w:pPr>
    </w:p>
    <w:p w14:paraId="3AFB9904" w14:textId="6DE345D4" w:rsidR="00375115" w:rsidRDefault="00375115" w:rsidP="007A4979">
      <w:pPr>
        <w:rPr>
          <w:rFonts w:ascii="Times New Roman" w:hAnsi="Times New Roman" w:cs="Times New Roman"/>
          <w:sz w:val="24"/>
          <w:szCs w:val="24"/>
        </w:rPr>
      </w:pPr>
      <w:r w:rsidRPr="00375115">
        <w:rPr>
          <w:rFonts w:ascii="Times New Roman" w:hAnsi="Times New Roman" w:cs="Times New Roman"/>
          <w:sz w:val="24"/>
          <w:szCs w:val="24"/>
        </w:rPr>
        <w:t xml:space="preserve">Regarding the ‘Births’ graph, it is notable for depicting a consistently decreasing fertility rate, except for an inexplicable increase in the rate from 2012 until 2015. In 2017, demographer Kenneth Johnson attributed the National Center for Health Statistics’ report of a record low birth rate in the United States to the aftermath of the Great Recession which “sent an economic shock through American society that reached far beyond the stock and housing market” (p. 1). Furthermore, he explains how although there was a larger population of women in their fertile prime four years ago, more than four-million fewer babies were born in the country from 2008 until 2016 than what would have occurred had pre-recession fertility rates not been interrupted. Although we observe from the graph that the slope becomes slightly less negative beginning in 2019, the Coronavirus will rot similar long-term effects as the Great Recession did, including a thinning of the future population pyramid. This is because census data depicting the dearth of births at the tail end of 2020 is in the final stages of collection but </w:t>
      </w:r>
      <w:r w:rsidR="00D80529">
        <w:rPr>
          <w:rFonts w:ascii="Times New Roman" w:hAnsi="Times New Roman" w:cs="Times New Roman"/>
          <w:sz w:val="24"/>
          <w:szCs w:val="24"/>
        </w:rPr>
        <w:t>unfortunately</w:t>
      </w:r>
      <w:r w:rsidRPr="00375115">
        <w:rPr>
          <w:rFonts w:ascii="Times New Roman" w:hAnsi="Times New Roman" w:cs="Times New Roman"/>
          <w:sz w:val="24"/>
          <w:szCs w:val="24"/>
        </w:rPr>
        <w:t xml:space="preserve"> is not yet available. The ‘dearth of births’ which will cause the slope of the ‘Births’ graph to negatively veer in the next year is the consequence of social distancing regulations that were implemented in March 2020 creating an obstacle for sexual reproductivity.</w:t>
      </w:r>
    </w:p>
    <w:p w14:paraId="2656FDE1" w14:textId="77777777" w:rsidR="00FB4CC2" w:rsidRP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lastRenderedPageBreak/>
        <w:t>As it is immediately evident from observing the ‘Deaths’ graph, mortality rates in the United States have consistently increased, aside from years of stagnancy including 2013, 2015, and 2018. As previously stated, statistics that have been collected by the Census regarding racial, socio-economic, and sex-based groups are not presently available. However, research conducted by neurosurgeon Adam Li and his associated scholars possesses resounding conclusions surrounding racial and location-based factors that posit individuals to be more susceptible to death from COVID-19. Regarding sectors of industry that put subgroups of society in harm’s way, fewer than one in five African Americans have a job that gives them the flexibility to work from home, which is mainly due to Black Americans making up a large share of the “essential” industries of healthcare, transportation, government, and food supply (Li et al., 2020, p. 8). Furthermore, the nearly one million transit workers that remained after an eighty-seven percent reduction in ridership were predominantly low-income people of color. Another health-related factor that made Black Americans more vulnerable to the pandemic was the finding that seventy-one-point-nine percent of non-Hispanic Black individuals were found to suffer from vitamin D deficiency. Vitamin D has been found to be essential for survival amid the pandemic due to its “important modulatory effect on immune response” (p. 9). The increased melanin pigmentation that is characteristic of people of color absorbs greater amounts of radiation than that of the skin of non-people of color which reduces ultraviolet-B radiation which is needed to trigger the production of vitamin D. The researchers also concluded that the protective effect of warmer climates which allows vitamin D to be cultivated at a greater rate causes a reduction in COVID-19 cases, but not mortality. Otherwise, one should expect a seasonal trend in global cases, with special attention given to regions of warmer climate, and mortality (p. 9).</w:t>
      </w:r>
    </w:p>
    <w:p w14:paraId="501C5006" w14:textId="725677E1" w:rsid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t>The researchers headed by Li also found a correlation between two factors that may initially seem counter-intuitive regarding the reported COVID-19 cases and an increase in mortality rates. As those that are poverty-stricken experienced an expedited case spread, those with economic stability found accessibility to getting tested more convenient. Also, flu vaccination was considered an indication of readily accessible healthcare. All three of these categorial qualities led to a statistically reported increase in exposure to the virus. Additionally, proactive social distancing caused decreased pollution levels, and thus pollution-related COVID-19 cases (p. 10). Lastly, the researchers conclude that the effect of either proactive or reactive social distancing is ambiguous since the former causes more cases and deaths while the latter causes widespread fear which leads to reactive social distancing. Thus, the researchers advise future studies to account for which time-based version of social distancing that is being measured (p. 11). Since my data that is the census procured from entails a point of conclusion in July 2020, I believe the first figure reflects proactive social distancing in the last yearly segment of each graph.</w:t>
      </w:r>
    </w:p>
    <w:p w14:paraId="24067709" w14:textId="3FC9FAD1"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w:t>
      </w:r>
      <w:r w:rsidR="00766A9B">
        <w:rPr>
          <w:rFonts w:ascii="Times New Roman" w:hAnsi="Times New Roman" w:cs="Times New Roman"/>
          <w:sz w:val="24"/>
          <w:szCs w:val="24"/>
        </w:rPr>
        <w:t xml:space="preserve"> effectively </w:t>
      </w:r>
      <w:r>
        <w:rPr>
          <w:rFonts w:ascii="Times New Roman" w:hAnsi="Times New Roman" w:cs="Times New Roman"/>
          <w:sz w:val="24"/>
          <w:szCs w:val="24"/>
        </w:rPr>
        <w:t>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lastRenderedPageBreak/>
        <w:t>According to DeWaard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7D4D0336"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 recession, the arrival of new undocumented migrants roughly offset deportations that have averaged three-hundred thousand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w:t>
      </w:r>
      <w:r w:rsidR="006737C1">
        <w:rPr>
          <w:rFonts w:ascii="Times New Roman" w:hAnsi="Times New Roman" w:cs="Times New Roman"/>
          <w:sz w:val="24"/>
          <w:szCs w:val="24"/>
        </w:rPr>
        <w:t>,</w:t>
      </w:r>
      <w:r w:rsidR="00B934BC">
        <w:rPr>
          <w:rFonts w:ascii="Times New Roman" w:hAnsi="Times New Roman" w:cs="Times New Roman"/>
          <w:sz w:val="24"/>
          <w:szCs w:val="24"/>
        </w:rPr>
        <w:t xml:space="preserve"> migrants</w:t>
      </w:r>
      <w:r w:rsidR="008A27F4">
        <w:rPr>
          <w:rFonts w:ascii="Times New Roman" w:hAnsi="Times New Roman" w:cs="Times New Roman"/>
          <w:sz w:val="24"/>
          <w:szCs w:val="24"/>
        </w:rPr>
        <w:t>.</w:t>
      </w:r>
    </w:p>
    <w:p w14:paraId="4733CC93" w14:textId="70A05FEA" w:rsidR="00760704" w:rsidRPr="00FB4CC2" w:rsidRDefault="00680399" w:rsidP="00FB4CC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 xml:space="preserve">Also, many countries reduced human contact “through limiting large gatherings, closing schools, or implementing total lockdowns” (Linka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0EEDB4CD" w14:textId="5A4DF89B" w:rsidR="003E385A" w:rsidRDefault="00567F83" w:rsidP="00567F83">
      <w:pPr>
        <w:rPr>
          <w:rFonts w:ascii="Times New Roman" w:hAnsi="Times New Roman" w:cs="Times New Roman"/>
          <w:sz w:val="16"/>
          <w:szCs w:val="16"/>
        </w:rPr>
      </w:pPr>
      <w:r w:rsidRPr="00567F83">
        <w:rPr>
          <w:rFonts w:ascii="Times New Roman" w:hAnsi="Times New Roman" w:cs="Times New Roman"/>
          <w:sz w:val="16"/>
          <w:szCs w:val="16"/>
        </w:rPr>
        <w:lastRenderedPageBreak/>
        <w:t xml:space="preserve">This increased disease burden did not seem to be explained by previously proposed mechanisms, indicating that other modulating factors should be considered, and novel interventions designed appropriately. One potential domain includes additional sociocultural variables that have only now become relevant within the context of the pandemic. For example, African Americans make up a large percentage of the healthcare, transportation, government, and food supply industries, job sectors that have now been deemed “essential” services in light of the SARS-CoV-2 pandemic. Despite the majority of Americans currently living in counties with some form of social distancing mandate, fewer than one in five Black Americans have a job that gives them this flexibility to work from home, compared with more than a third of white and Asian American workers. The potentially fatal consequences of this fact can already be seen in the case of the New York City transit workforce, which has been among the hardest hit by the virus with more than 2,000 cases and 59 deaths.57 Despite making up just 24% of the city’s overall population, African Americans account for nearly half of transit workers.36,37 Furthermore, despite an 87% reduction in overall ridership since the pandemic began, the nearly one million remaining passengers–most of whom lack the luxury of social distancing due to essential employment–are predominantly low-income people of color. </w:t>
      </w:r>
    </w:p>
    <w:p w14:paraId="5C6212AA" w14:textId="77777777" w:rsidR="003E385A" w:rsidRDefault="003E385A" w:rsidP="00567F83">
      <w:pPr>
        <w:rPr>
          <w:rFonts w:ascii="Times New Roman" w:hAnsi="Times New Roman" w:cs="Times New Roman"/>
          <w:sz w:val="16"/>
          <w:szCs w:val="16"/>
        </w:rPr>
      </w:pPr>
      <w:r w:rsidRPr="003E385A">
        <w:rPr>
          <w:rFonts w:ascii="Times New Roman" w:hAnsi="Times New Roman" w:cs="Times New Roman"/>
          <w:sz w:val="16"/>
          <w:szCs w:val="16"/>
        </w:rPr>
        <w:t>A potential explanation may be that Black workers may be more likely than other</w:t>
      </w:r>
      <w:r>
        <w:rPr>
          <w:rFonts w:ascii="Times New Roman" w:hAnsi="Times New Roman" w:cs="Times New Roman"/>
          <w:sz w:val="16"/>
          <w:szCs w:val="16"/>
        </w:rPr>
        <w:t xml:space="preserve"> </w:t>
      </w:r>
      <w:r w:rsidRPr="003E385A">
        <w:rPr>
          <w:rFonts w:ascii="Times New Roman" w:hAnsi="Times New Roman" w:cs="Times New Roman"/>
          <w:sz w:val="16"/>
          <w:szCs w:val="16"/>
        </w:rPr>
        <w:t>minority groups to work essential jobs that also require close proximity and frequent contact with</w:t>
      </w:r>
      <w:r>
        <w:rPr>
          <w:rFonts w:ascii="Times New Roman" w:hAnsi="Times New Roman" w:cs="Times New Roman"/>
          <w:sz w:val="16"/>
          <w:szCs w:val="16"/>
        </w:rPr>
        <w:t xml:space="preserve"> </w:t>
      </w:r>
      <w:r w:rsidRPr="003E385A">
        <w:rPr>
          <w:rFonts w:ascii="Times New Roman" w:hAnsi="Times New Roman" w:cs="Times New Roman"/>
          <w:sz w:val="16"/>
          <w:szCs w:val="16"/>
        </w:rPr>
        <w:t>others, such as bus drivers, postal workers, and grocery store clerks, which would convey</w:t>
      </w:r>
      <w:r>
        <w:rPr>
          <w:rFonts w:ascii="Times New Roman" w:hAnsi="Times New Roman" w:cs="Times New Roman"/>
          <w:sz w:val="16"/>
          <w:szCs w:val="16"/>
        </w:rPr>
        <w:t xml:space="preserve"> </w:t>
      </w:r>
      <w:r w:rsidRPr="003E385A">
        <w:rPr>
          <w:rFonts w:ascii="Times New Roman" w:hAnsi="Times New Roman" w:cs="Times New Roman"/>
          <w:sz w:val="16"/>
          <w:szCs w:val="16"/>
        </w:rPr>
        <w:t>additional risk of COVID-19 infection.</w:t>
      </w:r>
      <w:r>
        <w:rPr>
          <w:rFonts w:ascii="Times New Roman" w:hAnsi="Times New Roman" w:cs="Times New Roman"/>
          <w:sz w:val="16"/>
          <w:szCs w:val="16"/>
        </w:rPr>
        <w:t xml:space="preserve"> </w:t>
      </w:r>
    </w:p>
    <w:p w14:paraId="09AB85BA" w14:textId="46782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In this comprehensive analysis of serum 25-hydroxyvitamin D</w:t>
      </w:r>
      <w:r>
        <w:rPr>
          <w:rFonts w:ascii="Times New Roman" w:hAnsi="Times New Roman" w:cs="Times New Roman"/>
          <w:sz w:val="16"/>
          <w:szCs w:val="16"/>
        </w:rPr>
        <w:t xml:space="preserve"> </w:t>
      </w:r>
      <w:r w:rsidRPr="003E385A">
        <w:rPr>
          <w:rFonts w:ascii="Times New Roman" w:hAnsi="Times New Roman" w:cs="Times New Roman"/>
          <w:sz w:val="16"/>
          <w:szCs w:val="16"/>
        </w:rPr>
        <w:t>(25(OH)D) levels collected from more than 26,000 adults in the United States between</w:t>
      </w:r>
      <w:r>
        <w:rPr>
          <w:rFonts w:ascii="Times New Roman" w:hAnsi="Times New Roman" w:cs="Times New Roman"/>
          <w:sz w:val="16"/>
          <w:szCs w:val="16"/>
        </w:rPr>
        <w:t xml:space="preserve"> </w:t>
      </w:r>
      <w:r w:rsidRPr="003E385A">
        <w:rPr>
          <w:rFonts w:ascii="Times New Roman" w:hAnsi="Times New Roman" w:cs="Times New Roman"/>
          <w:sz w:val="16"/>
          <w:szCs w:val="16"/>
        </w:rPr>
        <w:t>2001-2010 as part of the National Health and Nutrition Examination Survey (NHANES), 71.9%</w:t>
      </w:r>
      <w:r>
        <w:rPr>
          <w:rFonts w:ascii="Times New Roman" w:hAnsi="Times New Roman" w:cs="Times New Roman"/>
          <w:sz w:val="16"/>
          <w:szCs w:val="16"/>
        </w:rPr>
        <w:t xml:space="preserve"> </w:t>
      </w:r>
      <w:r w:rsidRPr="003E385A">
        <w:rPr>
          <w:rFonts w:ascii="Times New Roman" w:hAnsi="Times New Roman" w:cs="Times New Roman"/>
          <w:sz w:val="16"/>
          <w:szCs w:val="16"/>
        </w:rPr>
        <w:t>of non-Hispanic Black individuals were found to suffer from vitamin D deficiency (defined as</w:t>
      </w:r>
    </w:p>
    <w:p w14:paraId="13ADB278" w14:textId="0B3D5DEA" w:rsidR="00531FFC"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(PAGE 8)</w:t>
      </w:r>
    </w:p>
    <w:p w14:paraId="4C487FEC" w14:textId="1EA0D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serum concentrations of less than 50 nmol/L) even after controlling for other potential</w:t>
      </w:r>
      <w:r>
        <w:rPr>
          <w:rFonts w:ascii="Times New Roman" w:hAnsi="Times New Roman" w:cs="Times New Roman"/>
          <w:sz w:val="16"/>
          <w:szCs w:val="16"/>
        </w:rPr>
        <w:t xml:space="preserve"> </w:t>
      </w:r>
      <w:r w:rsidRPr="003E385A">
        <w:rPr>
          <w:rFonts w:ascii="Times New Roman" w:hAnsi="Times New Roman" w:cs="Times New Roman"/>
          <w:sz w:val="16"/>
          <w:szCs w:val="16"/>
        </w:rPr>
        <w:t>predictors.41 Of the many sociodemographic, behavioral, and clinical variables studied, being a</w:t>
      </w:r>
      <w:r>
        <w:rPr>
          <w:rFonts w:ascii="Times New Roman" w:hAnsi="Times New Roman" w:cs="Times New Roman"/>
          <w:sz w:val="16"/>
          <w:szCs w:val="16"/>
        </w:rPr>
        <w:t xml:space="preserve"> </w:t>
      </w:r>
      <w:r w:rsidRPr="003E385A">
        <w:rPr>
          <w:rFonts w:ascii="Times New Roman" w:hAnsi="Times New Roman" w:cs="Times New Roman"/>
          <w:sz w:val="16"/>
          <w:szCs w:val="16"/>
        </w:rPr>
        <w:t>racial or ethnic minority was the strongest predictor of vitamin D deficiency</w:t>
      </w:r>
      <w:r>
        <w:rPr>
          <w:rFonts w:ascii="Times New Roman" w:hAnsi="Times New Roman" w:cs="Times New Roman"/>
          <w:sz w:val="16"/>
          <w:szCs w:val="16"/>
        </w:rPr>
        <w:t>.</w:t>
      </w:r>
    </w:p>
    <w:p w14:paraId="4C3D2636" w14:textId="779BF0E9" w:rsidR="003E385A" w:rsidRPr="00FB4CC2"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Vitamin D has been suggested as a potentially mitigative factor in the COVID-19 pandemic due</w:t>
      </w:r>
      <w:r>
        <w:rPr>
          <w:rFonts w:ascii="Times New Roman" w:hAnsi="Times New Roman" w:cs="Times New Roman"/>
          <w:sz w:val="16"/>
          <w:szCs w:val="16"/>
        </w:rPr>
        <w:t xml:space="preserve"> </w:t>
      </w:r>
      <w:r w:rsidRPr="003E385A">
        <w:rPr>
          <w:rFonts w:ascii="Times New Roman" w:hAnsi="Times New Roman" w:cs="Times New Roman"/>
          <w:sz w:val="16"/>
          <w:szCs w:val="16"/>
        </w:rPr>
        <w:t>to its important modulatory effect on immune response.42,43 Furthermore, vitamin D deficiency</w:t>
      </w:r>
      <w:r>
        <w:rPr>
          <w:rFonts w:ascii="Times New Roman" w:hAnsi="Times New Roman" w:cs="Times New Roman"/>
          <w:sz w:val="16"/>
          <w:szCs w:val="16"/>
        </w:rPr>
        <w:t xml:space="preserve"> </w:t>
      </w:r>
      <w:r w:rsidRPr="003E385A">
        <w:rPr>
          <w:rFonts w:ascii="Times New Roman" w:hAnsi="Times New Roman" w:cs="Times New Roman"/>
          <w:sz w:val="16"/>
          <w:szCs w:val="16"/>
        </w:rPr>
        <w:t>has been implicated in numerous adverse health conditions such as acute respiratory</w:t>
      </w:r>
      <w:r>
        <w:rPr>
          <w:rFonts w:ascii="Times New Roman" w:hAnsi="Times New Roman" w:cs="Times New Roman"/>
          <w:sz w:val="16"/>
          <w:szCs w:val="16"/>
        </w:rPr>
        <w:t xml:space="preserve"> </w:t>
      </w:r>
      <w:r w:rsidRPr="003E385A">
        <w:rPr>
          <w:rFonts w:ascii="Times New Roman" w:hAnsi="Times New Roman" w:cs="Times New Roman"/>
          <w:sz w:val="16"/>
          <w:szCs w:val="16"/>
        </w:rPr>
        <w:t>syndromes, tuberculosis, cardiovascular disease, autoimmune disease, and some cancers.</w:t>
      </w:r>
      <w:r>
        <w:rPr>
          <w:rFonts w:ascii="Times New Roman" w:hAnsi="Times New Roman" w:cs="Times New Roman"/>
          <w:sz w:val="16"/>
          <w:szCs w:val="16"/>
        </w:rPr>
        <w:t xml:space="preserve"> </w:t>
      </w:r>
      <w:r w:rsidRPr="00FB4CC2">
        <w:rPr>
          <w:rFonts w:ascii="Times New Roman" w:hAnsi="Times New Roman" w:cs="Times New Roman"/>
          <w:sz w:val="16"/>
          <w:szCs w:val="16"/>
        </w:rPr>
        <w:t>This higher prevalence of vitamin D deficiency in darker-skinned individuals is thought to largely be due to increased melanin pigmentation, which absorbs significantly more radiation from sunlight and thereby reduces the available ultraviolet-B radiation that is needed to trigger natural vitamin D production in the skin.</w:t>
      </w:r>
    </w:p>
    <w:p w14:paraId="34760545" w14:textId="0F173478" w:rsidR="003E385A" w:rsidRDefault="003E385A" w:rsidP="003E385A">
      <w:pPr>
        <w:rPr>
          <w:rFonts w:ascii="Times New Roman" w:hAnsi="Times New Roman" w:cs="Times New Roman"/>
          <w:sz w:val="16"/>
          <w:szCs w:val="16"/>
        </w:rPr>
      </w:pPr>
      <w:r w:rsidRPr="00FB4CC2">
        <w:rPr>
          <w:rFonts w:ascii="Times New Roman" w:hAnsi="Times New Roman" w:cs="Times New Roman"/>
          <w:sz w:val="16"/>
          <w:szCs w:val="16"/>
        </w:rPr>
        <w:t>The potential role of vitamin D as a modulator of COVID-19 burden is further supported by our other significant finding regarding temperature, which suggests a protective effect of warmer climates. Several recent reports have also linked higher temperature to decreased virus spread, while others have found no significant effects.9-14 Here, we demonstrate an independent effect of temperature that results in reduced COVID-19 cases, but not mortality, across U.S. counties. If warmer temperatures do, in fact, play a role in mitigating disease spread, it is reasonable to expect a potential seasonal trend in global cases and mortality.</w:t>
      </w:r>
    </w:p>
    <w:p w14:paraId="1A89DD06" w14:textId="27F371E7"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9)</w:t>
      </w:r>
    </w:p>
    <w:p w14:paraId="4D29446A" w14:textId="3ABC372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Poverty and GDP are not typically thought to be positively correlated with each other, however,</w:t>
      </w:r>
      <w:r>
        <w:rPr>
          <w:rFonts w:ascii="Times New Roman" w:hAnsi="Times New Roman" w:cs="Times New Roman"/>
          <w:sz w:val="16"/>
          <w:szCs w:val="16"/>
        </w:rPr>
        <w:t xml:space="preserve"> </w:t>
      </w:r>
      <w:r w:rsidRPr="003E385A">
        <w:rPr>
          <w:rFonts w:ascii="Times New Roman" w:hAnsi="Times New Roman" w:cs="Times New Roman"/>
          <w:sz w:val="16"/>
          <w:szCs w:val="16"/>
        </w:rPr>
        <w:t>the correlations seen here may represent inequalities in health care versus and access to</w:t>
      </w:r>
      <w:r>
        <w:rPr>
          <w:rFonts w:ascii="Times New Roman" w:hAnsi="Times New Roman" w:cs="Times New Roman"/>
          <w:sz w:val="16"/>
          <w:szCs w:val="16"/>
        </w:rPr>
        <w:t xml:space="preserve"> testing. </w:t>
      </w:r>
      <w:r w:rsidRPr="003E385A">
        <w:rPr>
          <w:rFonts w:ascii="Times New Roman" w:hAnsi="Times New Roman" w:cs="Times New Roman"/>
          <w:sz w:val="16"/>
          <w:szCs w:val="16"/>
        </w:rPr>
        <w:t>For example, poverty may exacerbate case spread, while economic power increases</w:t>
      </w:r>
      <w:r>
        <w:rPr>
          <w:rFonts w:ascii="Times New Roman" w:hAnsi="Times New Roman" w:cs="Times New Roman"/>
          <w:sz w:val="16"/>
          <w:szCs w:val="16"/>
        </w:rPr>
        <w:t xml:space="preserve"> </w:t>
      </w:r>
      <w:r w:rsidRPr="003E385A">
        <w:rPr>
          <w:rFonts w:ascii="Times New Roman" w:hAnsi="Times New Roman" w:cs="Times New Roman"/>
          <w:sz w:val="16"/>
          <w:szCs w:val="16"/>
        </w:rPr>
        <w:t>testing rates, both of which would lead to increased cases.</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was included as a</w:t>
      </w:r>
      <w:r>
        <w:rPr>
          <w:rFonts w:ascii="Times New Roman" w:hAnsi="Times New Roman" w:cs="Times New Roman"/>
          <w:sz w:val="16"/>
          <w:szCs w:val="16"/>
        </w:rPr>
        <w:t xml:space="preserve"> </w:t>
      </w:r>
      <w:r w:rsidRPr="003E385A">
        <w:rPr>
          <w:rFonts w:ascii="Times New Roman" w:hAnsi="Times New Roman" w:cs="Times New Roman"/>
          <w:sz w:val="16"/>
          <w:szCs w:val="16"/>
        </w:rPr>
        <w:t>marker for access to healthcare and may be associated with greater testing rates. Additionally,</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is often mandated for healthcare workers, thus counties with higher flu</w:t>
      </w:r>
      <w:r>
        <w:rPr>
          <w:rFonts w:ascii="Times New Roman" w:hAnsi="Times New Roman" w:cs="Times New Roman"/>
          <w:sz w:val="16"/>
          <w:szCs w:val="16"/>
        </w:rPr>
        <w:t xml:space="preserve"> </w:t>
      </w:r>
      <w:r w:rsidRPr="003E385A">
        <w:rPr>
          <w:rFonts w:ascii="Times New Roman" w:hAnsi="Times New Roman" w:cs="Times New Roman"/>
          <w:sz w:val="16"/>
          <w:szCs w:val="16"/>
        </w:rPr>
        <w:t>vaccination rates may have more of its citizens having front line exposure to the virus</w:t>
      </w:r>
      <w:r>
        <w:rPr>
          <w:rFonts w:ascii="Times New Roman" w:hAnsi="Times New Roman" w:cs="Times New Roman"/>
          <w:sz w:val="16"/>
          <w:szCs w:val="16"/>
        </w:rPr>
        <w:t>.</w:t>
      </w:r>
    </w:p>
    <w:p w14:paraId="619C2490" w14:textId="55723845"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Given increased social distancing, many counties with historically bad air pollution currently</w:t>
      </w:r>
      <w:r>
        <w:rPr>
          <w:rFonts w:ascii="Times New Roman" w:hAnsi="Times New Roman" w:cs="Times New Roman"/>
          <w:sz w:val="16"/>
          <w:szCs w:val="16"/>
        </w:rPr>
        <w:t xml:space="preserve"> </w:t>
      </w:r>
      <w:r w:rsidRPr="003E385A">
        <w:rPr>
          <w:rFonts w:ascii="Times New Roman" w:hAnsi="Times New Roman" w:cs="Times New Roman"/>
          <w:sz w:val="16"/>
          <w:szCs w:val="16"/>
        </w:rPr>
        <w:t>have significantly decreased pollution levels, which may have decreased pollution related</w:t>
      </w:r>
      <w:r>
        <w:rPr>
          <w:rFonts w:ascii="Times New Roman" w:hAnsi="Times New Roman" w:cs="Times New Roman"/>
          <w:sz w:val="16"/>
          <w:szCs w:val="16"/>
        </w:rPr>
        <w:t xml:space="preserve"> </w:t>
      </w:r>
      <w:r w:rsidRPr="003E385A">
        <w:rPr>
          <w:rFonts w:ascii="Times New Roman" w:hAnsi="Times New Roman" w:cs="Times New Roman"/>
          <w:sz w:val="16"/>
          <w:szCs w:val="16"/>
        </w:rPr>
        <w:t>COVID-19 cases</w:t>
      </w:r>
      <w:r>
        <w:rPr>
          <w:rFonts w:ascii="Times New Roman" w:hAnsi="Times New Roman" w:cs="Times New Roman"/>
          <w:sz w:val="16"/>
          <w:szCs w:val="16"/>
        </w:rPr>
        <w:t>.</w:t>
      </w:r>
    </w:p>
    <w:p w14:paraId="45FD2B48" w14:textId="19E58264"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10)</w:t>
      </w:r>
    </w:p>
    <w:p w14:paraId="14C7E935" w14:textId="334AB940"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It is expected that less proactive social distancing will cause</w:t>
      </w:r>
      <w:r>
        <w:rPr>
          <w:rFonts w:ascii="Times New Roman" w:hAnsi="Times New Roman" w:cs="Times New Roman"/>
          <w:sz w:val="16"/>
          <w:szCs w:val="16"/>
        </w:rPr>
        <w:t xml:space="preserve"> </w:t>
      </w:r>
      <w:r w:rsidRPr="003E385A">
        <w:rPr>
          <w:rFonts w:ascii="Times New Roman" w:hAnsi="Times New Roman" w:cs="Times New Roman"/>
          <w:sz w:val="16"/>
          <w:szCs w:val="16"/>
        </w:rPr>
        <w:t>more cases and deaths (negative correlation) while higher numbers of cases and deaths</w:t>
      </w:r>
      <w:r>
        <w:rPr>
          <w:rFonts w:ascii="Times New Roman" w:hAnsi="Times New Roman" w:cs="Times New Roman"/>
          <w:sz w:val="16"/>
          <w:szCs w:val="16"/>
        </w:rPr>
        <w:t xml:space="preserve"> </w:t>
      </w:r>
      <w:r w:rsidRPr="003E385A">
        <w:rPr>
          <w:rFonts w:ascii="Times New Roman" w:hAnsi="Times New Roman" w:cs="Times New Roman"/>
          <w:sz w:val="16"/>
          <w:szCs w:val="16"/>
        </w:rPr>
        <w:t>induces fear, causing increased reactive social distancing (positive correlation). Since these</w:t>
      </w:r>
      <w:r>
        <w:rPr>
          <w:rFonts w:ascii="Times New Roman" w:hAnsi="Times New Roman" w:cs="Times New Roman"/>
          <w:sz w:val="16"/>
          <w:szCs w:val="16"/>
        </w:rPr>
        <w:t xml:space="preserve"> </w:t>
      </w:r>
      <w:r w:rsidRPr="003E385A">
        <w:rPr>
          <w:rFonts w:ascii="Times New Roman" w:hAnsi="Times New Roman" w:cs="Times New Roman"/>
          <w:sz w:val="16"/>
          <w:szCs w:val="16"/>
        </w:rPr>
        <w:t>effects work in opposite directions, this bias makes it more difficult to find an effect of social</w:t>
      </w:r>
      <w:r>
        <w:rPr>
          <w:rFonts w:ascii="Times New Roman" w:hAnsi="Times New Roman" w:cs="Times New Roman"/>
          <w:sz w:val="16"/>
          <w:szCs w:val="16"/>
        </w:rPr>
        <w:t xml:space="preserve"> </w:t>
      </w:r>
      <w:r w:rsidRPr="003E385A">
        <w:rPr>
          <w:rFonts w:ascii="Times New Roman" w:hAnsi="Times New Roman" w:cs="Times New Roman"/>
          <w:sz w:val="16"/>
          <w:szCs w:val="16"/>
        </w:rPr>
        <w:t>distancing. Studies that plan to model social distancing with numerous covariates should ensure</w:t>
      </w:r>
      <w:r>
        <w:rPr>
          <w:rFonts w:ascii="Times New Roman" w:hAnsi="Times New Roman" w:cs="Times New Roman"/>
          <w:sz w:val="16"/>
          <w:szCs w:val="16"/>
        </w:rPr>
        <w:t xml:space="preserve"> </w:t>
      </w:r>
      <w:r w:rsidRPr="003E385A">
        <w:rPr>
          <w:rFonts w:ascii="Times New Roman" w:hAnsi="Times New Roman" w:cs="Times New Roman"/>
          <w:sz w:val="16"/>
          <w:szCs w:val="16"/>
        </w:rPr>
        <w:t>their metric adequately delineates between proactive and reactive social distancing or employ</w:t>
      </w:r>
      <w:r>
        <w:rPr>
          <w:rFonts w:ascii="Times New Roman" w:hAnsi="Times New Roman" w:cs="Times New Roman"/>
          <w:sz w:val="16"/>
          <w:szCs w:val="16"/>
        </w:rPr>
        <w:t xml:space="preserve"> </w:t>
      </w:r>
      <w:r w:rsidRPr="003E385A">
        <w:rPr>
          <w:rFonts w:ascii="Times New Roman" w:hAnsi="Times New Roman" w:cs="Times New Roman"/>
          <w:sz w:val="16"/>
          <w:szCs w:val="16"/>
        </w:rPr>
        <w:t>an appropriate instrument to remove this simultaneity.</w:t>
      </w:r>
    </w:p>
    <w:p w14:paraId="274DC042" w14:textId="6A5309CF"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11)</w:t>
      </w:r>
    </w:p>
    <w:p w14:paraId="6F19AF77" w14:textId="476D5FBE" w:rsidR="00567F83" w:rsidRDefault="00567F83" w:rsidP="0037376A">
      <w:pPr>
        <w:pBdr>
          <w:bottom w:val="single" w:sz="12" w:space="1" w:color="auto"/>
        </w:pBdr>
        <w:rPr>
          <w:rFonts w:ascii="Times New Roman" w:hAnsi="Times New Roman" w:cs="Times New Roman"/>
          <w:sz w:val="24"/>
          <w:szCs w:val="24"/>
        </w:rPr>
      </w:pPr>
    </w:p>
    <w:p w14:paraId="39D71676" w14:textId="1D0C1203" w:rsidR="00BC1EBC" w:rsidRDefault="00BC1EBC" w:rsidP="0037376A">
      <w:pPr>
        <w:rPr>
          <w:rFonts w:ascii="Times New Roman" w:hAnsi="Times New Roman" w:cs="Times New Roman"/>
          <w:noProof/>
          <w:sz w:val="24"/>
          <w:szCs w:val="24"/>
        </w:rPr>
      </w:pPr>
      <w:r>
        <w:rPr>
          <w:rFonts w:ascii="Times New Roman" w:hAnsi="Times New Roman" w:cs="Times New Roman"/>
          <w:noProof/>
          <w:sz w:val="24"/>
          <w:szCs w:val="24"/>
        </w:rPr>
        <w:t>…</w:t>
      </w:r>
    </w:p>
    <w:p w14:paraId="300A07CB" w14:textId="27C7DF87" w:rsidR="0015224D" w:rsidRDefault="00E2681B" w:rsidP="0037376A">
      <w:pPr>
        <w:rPr>
          <w:rFonts w:ascii="Times New Roman" w:hAnsi="Times New Roman" w:cs="Times New Roman"/>
          <w:sz w:val="24"/>
          <w:szCs w:val="24"/>
        </w:rPr>
      </w:pPr>
      <w:r>
        <w:rPr>
          <w:rFonts w:ascii="Times New Roman" w:hAnsi="Times New Roman" w:cs="Times New Roman"/>
          <w:sz w:val="24"/>
          <w:szCs w:val="24"/>
        </w:rPr>
        <w:t xml:space="preserve">I must repeat the disclaimer that this depiction of fertility does not present the effect of the </w:t>
      </w:r>
      <w:r w:rsidR="004F1EC4">
        <w:rPr>
          <w:rFonts w:ascii="Times New Roman" w:hAnsi="Times New Roman" w:cs="Times New Roman"/>
          <w:sz w:val="24"/>
          <w:szCs w:val="24"/>
        </w:rPr>
        <w:t>decline</w:t>
      </w:r>
      <w:r>
        <w:rPr>
          <w:rFonts w:ascii="Times New Roman" w:hAnsi="Times New Roman" w:cs="Times New Roman"/>
          <w:sz w:val="24"/>
          <w:szCs w:val="24"/>
        </w:rPr>
        <w:t xml:space="preserve"> in births experienced towards the end of 2020, </w:t>
      </w:r>
      <w:r w:rsidR="004F1EC4">
        <w:rPr>
          <w:rFonts w:ascii="Times New Roman" w:hAnsi="Times New Roman" w:cs="Times New Roman"/>
          <w:sz w:val="24"/>
          <w:szCs w:val="24"/>
        </w:rPr>
        <w:t xml:space="preserve">which </w:t>
      </w:r>
      <w:r>
        <w:rPr>
          <w:rFonts w:ascii="Times New Roman" w:hAnsi="Times New Roman" w:cs="Times New Roman"/>
          <w:sz w:val="24"/>
          <w:szCs w:val="24"/>
        </w:rPr>
        <w:t>the Coronavirus</w:t>
      </w:r>
      <w:r w:rsidR="004F1EC4">
        <w:rPr>
          <w:rFonts w:ascii="Times New Roman" w:hAnsi="Times New Roman" w:cs="Times New Roman"/>
          <w:sz w:val="24"/>
          <w:szCs w:val="24"/>
        </w:rPr>
        <w:t xml:space="preserve"> caused</w:t>
      </w:r>
      <w:r>
        <w:rPr>
          <w:rFonts w:ascii="Times New Roman" w:hAnsi="Times New Roman" w:cs="Times New Roman"/>
          <w:sz w:val="24"/>
          <w:szCs w:val="24"/>
        </w:rPr>
        <w:t xml:space="preserve">. </w:t>
      </w:r>
      <w:r w:rsidR="00343A9F">
        <w:rPr>
          <w:rFonts w:ascii="Times New Roman" w:hAnsi="Times New Roman" w:cs="Times New Roman"/>
          <w:sz w:val="24"/>
          <w:szCs w:val="24"/>
        </w:rPr>
        <w:t>Drastic decreases or increases in fertility were rarely observed</w:t>
      </w:r>
      <w:r>
        <w:rPr>
          <w:rFonts w:ascii="Times New Roman" w:hAnsi="Times New Roman" w:cs="Times New Roman"/>
          <w:sz w:val="24"/>
          <w:szCs w:val="24"/>
        </w:rPr>
        <w:t xml:space="preserve"> if at all</w:t>
      </w:r>
      <w:r w:rsidR="00343A9F">
        <w:rPr>
          <w:rFonts w:ascii="Times New Roman" w:hAnsi="Times New Roman" w:cs="Times New Roman"/>
          <w:sz w:val="24"/>
          <w:szCs w:val="24"/>
        </w:rPr>
        <w:t>.</w:t>
      </w:r>
      <w:r>
        <w:rPr>
          <w:rFonts w:ascii="Times New Roman" w:hAnsi="Times New Roman" w:cs="Times New Roman"/>
          <w:sz w:val="24"/>
          <w:szCs w:val="24"/>
        </w:rPr>
        <w:t xml:space="preserve"> The coastal regions are by-and-</w:t>
      </w:r>
      <w:r>
        <w:rPr>
          <w:rFonts w:ascii="Times New Roman" w:hAnsi="Times New Roman" w:cs="Times New Roman"/>
          <w:sz w:val="24"/>
          <w:szCs w:val="24"/>
        </w:rPr>
        <w:lastRenderedPageBreak/>
        <w:t>large ‘</w:t>
      </w:r>
      <w:r w:rsidR="004F1EC4">
        <w:rPr>
          <w:rFonts w:ascii="Times New Roman" w:hAnsi="Times New Roman" w:cs="Times New Roman"/>
          <w:sz w:val="24"/>
          <w:szCs w:val="24"/>
        </w:rPr>
        <w:t>pink</w:t>
      </w:r>
      <w:r>
        <w:rPr>
          <w:rFonts w:ascii="Times New Roman" w:hAnsi="Times New Roman" w:cs="Times New Roman"/>
          <w:sz w:val="24"/>
          <w:szCs w:val="24"/>
        </w:rPr>
        <w:t>’</w:t>
      </w:r>
      <w:r w:rsidR="006F6015">
        <w:rPr>
          <w:rFonts w:ascii="Times New Roman" w:hAnsi="Times New Roman" w:cs="Times New Roman"/>
          <w:sz w:val="24"/>
          <w:szCs w:val="24"/>
        </w:rPr>
        <w:t xml:space="preserve"> (in a moderate sense)</w:t>
      </w:r>
      <w:r w:rsidR="004F1EC4">
        <w:rPr>
          <w:rFonts w:ascii="Times New Roman" w:hAnsi="Times New Roman" w:cs="Times New Roman"/>
          <w:sz w:val="24"/>
          <w:szCs w:val="24"/>
        </w:rPr>
        <w:t>, whereas</w:t>
      </w:r>
      <w:r>
        <w:rPr>
          <w:rFonts w:ascii="Times New Roman" w:hAnsi="Times New Roman" w:cs="Times New Roman"/>
          <w:sz w:val="24"/>
          <w:szCs w:val="24"/>
        </w:rPr>
        <w:t xml:space="preserve"> </w:t>
      </w:r>
      <w:r w:rsidR="004F1EC4">
        <w:rPr>
          <w:rFonts w:ascii="Times New Roman" w:hAnsi="Times New Roman" w:cs="Times New Roman"/>
          <w:sz w:val="24"/>
          <w:szCs w:val="24"/>
        </w:rPr>
        <w:t>t</w:t>
      </w:r>
      <w:r>
        <w:rPr>
          <w:rFonts w:ascii="Times New Roman" w:hAnsi="Times New Roman" w:cs="Times New Roman"/>
          <w:sz w:val="24"/>
          <w:szCs w:val="24"/>
        </w:rPr>
        <w:t>he ‘</w:t>
      </w:r>
      <w:r w:rsidR="004F1EC4">
        <w:rPr>
          <w:rFonts w:ascii="Times New Roman" w:hAnsi="Times New Roman" w:cs="Times New Roman"/>
          <w:sz w:val="24"/>
          <w:szCs w:val="24"/>
        </w:rPr>
        <w:t>green</w:t>
      </w:r>
      <w:r>
        <w:rPr>
          <w:rFonts w:ascii="Times New Roman" w:hAnsi="Times New Roman" w:cs="Times New Roman"/>
          <w:sz w:val="24"/>
          <w:szCs w:val="24"/>
        </w:rPr>
        <w:t xml:space="preserve">’ distribution appears to be concentrated in the </w:t>
      </w:r>
      <w:r w:rsidR="004F1EC4">
        <w:rPr>
          <w:rFonts w:ascii="Times New Roman" w:hAnsi="Times New Roman" w:cs="Times New Roman"/>
          <w:sz w:val="24"/>
          <w:szCs w:val="24"/>
        </w:rPr>
        <w:t>states that comprise the Rocky Mountains</w:t>
      </w:r>
      <w:r>
        <w:rPr>
          <w:rFonts w:ascii="Times New Roman" w:hAnsi="Times New Roman" w:cs="Times New Roman"/>
          <w:sz w:val="24"/>
          <w:szCs w:val="24"/>
        </w:rPr>
        <w:t xml:space="preserve"> </w:t>
      </w:r>
      <w:r w:rsidR="004F1EC4">
        <w:rPr>
          <w:rFonts w:ascii="Times New Roman" w:hAnsi="Times New Roman" w:cs="Times New Roman"/>
          <w:sz w:val="24"/>
          <w:szCs w:val="24"/>
        </w:rPr>
        <w:t xml:space="preserve">and </w:t>
      </w:r>
      <w:r>
        <w:rPr>
          <w:rFonts w:ascii="Times New Roman" w:hAnsi="Times New Roman" w:cs="Times New Roman"/>
          <w:sz w:val="24"/>
          <w:szCs w:val="24"/>
        </w:rPr>
        <w:t xml:space="preserve">the </w:t>
      </w:r>
      <w:r w:rsidR="004F1EC4">
        <w:rPr>
          <w:rFonts w:ascii="Times New Roman" w:hAnsi="Times New Roman" w:cs="Times New Roman"/>
          <w:sz w:val="24"/>
          <w:szCs w:val="24"/>
        </w:rPr>
        <w:t>Midwest</w:t>
      </w:r>
      <w:r>
        <w:rPr>
          <w:rFonts w:ascii="Times New Roman" w:hAnsi="Times New Roman" w:cs="Times New Roman"/>
          <w:sz w:val="24"/>
          <w:szCs w:val="24"/>
        </w:rPr>
        <w:t xml:space="preserve">. </w:t>
      </w:r>
    </w:p>
    <w:p w14:paraId="39DC13BA" w14:textId="34C210C4" w:rsidR="00BC1EBC" w:rsidRDefault="00BC1EBC" w:rsidP="0037376A">
      <w:pPr>
        <w:rPr>
          <w:rFonts w:ascii="Times New Roman" w:hAnsi="Times New Roman" w:cs="Times New Roman"/>
          <w:noProof/>
          <w:sz w:val="24"/>
          <w:szCs w:val="24"/>
        </w:rPr>
      </w:pPr>
      <w:r>
        <w:rPr>
          <w:rFonts w:ascii="Times New Roman" w:hAnsi="Times New Roman" w:cs="Times New Roman"/>
          <w:noProof/>
          <w:sz w:val="24"/>
          <w:szCs w:val="24"/>
        </w:rPr>
        <w:t>…</w:t>
      </w:r>
    </w:p>
    <w:p w14:paraId="57D1A31C" w14:textId="0EF721E5" w:rsidR="004F1EC4" w:rsidRDefault="004F1EC4" w:rsidP="0037376A">
      <w:pPr>
        <w:rPr>
          <w:rFonts w:ascii="Times New Roman" w:hAnsi="Times New Roman" w:cs="Times New Roman"/>
          <w:sz w:val="24"/>
          <w:szCs w:val="24"/>
        </w:rPr>
      </w:pPr>
      <w:r>
        <w:rPr>
          <w:rFonts w:ascii="Times New Roman" w:hAnsi="Times New Roman" w:cs="Times New Roman"/>
          <w:sz w:val="24"/>
          <w:szCs w:val="24"/>
        </w:rPr>
        <w:t>Spotty i</w:t>
      </w:r>
      <w:r w:rsidR="00E2681B">
        <w:rPr>
          <w:rFonts w:ascii="Times New Roman" w:hAnsi="Times New Roman" w:cs="Times New Roman"/>
          <w:sz w:val="24"/>
          <w:szCs w:val="24"/>
        </w:rPr>
        <w:t xml:space="preserve">mprovements in mortality seem practically exclusive to the </w:t>
      </w:r>
      <w:r w:rsidR="00615049">
        <w:rPr>
          <w:rFonts w:ascii="Times New Roman" w:hAnsi="Times New Roman" w:cs="Times New Roman"/>
          <w:sz w:val="24"/>
          <w:szCs w:val="24"/>
        </w:rPr>
        <w:t>inland</w:t>
      </w:r>
      <w:r w:rsidR="00E2681B">
        <w:rPr>
          <w:rFonts w:ascii="Times New Roman" w:hAnsi="Times New Roman" w:cs="Times New Roman"/>
          <w:sz w:val="24"/>
          <w:szCs w:val="24"/>
        </w:rPr>
        <w:t xml:space="preserve"> western and mid-western regions.</w:t>
      </w:r>
      <w:r w:rsidR="00817014">
        <w:rPr>
          <w:rFonts w:ascii="Times New Roman" w:hAnsi="Times New Roman" w:cs="Times New Roman"/>
          <w:sz w:val="24"/>
          <w:szCs w:val="24"/>
        </w:rPr>
        <w:t xml:space="preserve"> Although the effect of increased mortality can be observed in the states the comprise the Rocky Mountains and the Midwest.</w:t>
      </w:r>
      <w:r w:rsidR="00E2681B">
        <w:rPr>
          <w:rFonts w:ascii="Times New Roman" w:hAnsi="Times New Roman" w:cs="Times New Roman"/>
          <w:sz w:val="24"/>
          <w:szCs w:val="24"/>
        </w:rPr>
        <w:t xml:space="preserve"> To be more precise, the populated coastal borders of the ends of the country show little-to-no change.</w:t>
      </w:r>
    </w:p>
    <w:p w14:paraId="2157A048" w14:textId="5794E43C" w:rsidR="0015224D" w:rsidRDefault="00BC1EBC" w:rsidP="0037376A">
      <w:pPr>
        <w:rPr>
          <w:rFonts w:ascii="Times New Roman" w:hAnsi="Times New Roman" w:cs="Times New Roman"/>
          <w:sz w:val="24"/>
          <w:szCs w:val="24"/>
        </w:rPr>
      </w:pPr>
      <w:r>
        <w:rPr>
          <w:rFonts w:ascii="Times New Roman" w:hAnsi="Times New Roman" w:cs="Times New Roman"/>
          <w:noProof/>
          <w:sz w:val="24"/>
          <w:szCs w:val="24"/>
        </w:rPr>
        <w:t>…</w:t>
      </w:r>
    </w:p>
    <w:p w14:paraId="50F3839A" w14:textId="7CC077CE" w:rsidR="0015224D" w:rsidRDefault="00965678" w:rsidP="0037376A">
      <w:pPr>
        <w:rPr>
          <w:rFonts w:ascii="Times New Roman" w:hAnsi="Times New Roman" w:cs="Times New Roman"/>
          <w:sz w:val="24"/>
          <w:szCs w:val="24"/>
        </w:rPr>
      </w:pPr>
      <w:r>
        <w:rPr>
          <w:rFonts w:ascii="Times New Roman" w:hAnsi="Times New Roman" w:cs="Times New Roman"/>
          <w:sz w:val="24"/>
          <w:szCs w:val="24"/>
        </w:rPr>
        <w:t>The trends of concentrated gain or loss of domestic migrants seems unable to</w:t>
      </w:r>
      <w:r w:rsidR="00FE08F6">
        <w:rPr>
          <w:rFonts w:ascii="Times New Roman" w:hAnsi="Times New Roman" w:cs="Times New Roman"/>
          <w:sz w:val="24"/>
          <w:szCs w:val="24"/>
        </w:rPr>
        <w:t xml:space="preserve"> be</w:t>
      </w:r>
      <w:r>
        <w:rPr>
          <w:rFonts w:ascii="Times New Roman" w:hAnsi="Times New Roman" w:cs="Times New Roman"/>
          <w:sz w:val="24"/>
          <w:szCs w:val="24"/>
        </w:rPr>
        <w:t xml:space="preserve"> infer</w:t>
      </w:r>
      <w:r w:rsidR="00FE08F6">
        <w:rPr>
          <w:rFonts w:ascii="Times New Roman" w:hAnsi="Times New Roman" w:cs="Times New Roman"/>
          <w:sz w:val="24"/>
          <w:szCs w:val="24"/>
        </w:rPr>
        <w:t>red</w:t>
      </w:r>
      <w:r>
        <w:rPr>
          <w:rFonts w:ascii="Times New Roman" w:hAnsi="Times New Roman" w:cs="Times New Roman"/>
          <w:sz w:val="24"/>
          <w:szCs w:val="24"/>
        </w:rPr>
        <w:t xml:space="preserve"> due to the practically </w:t>
      </w:r>
      <w:r w:rsidR="004F1EC4">
        <w:rPr>
          <w:rFonts w:ascii="Times New Roman" w:hAnsi="Times New Roman" w:cs="Times New Roman"/>
          <w:sz w:val="24"/>
          <w:szCs w:val="24"/>
        </w:rPr>
        <w:t xml:space="preserve">random </w:t>
      </w:r>
      <w:r>
        <w:rPr>
          <w:rFonts w:ascii="Times New Roman" w:hAnsi="Times New Roman" w:cs="Times New Roman"/>
          <w:sz w:val="24"/>
          <w:szCs w:val="24"/>
        </w:rPr>
        <w:t>appearance-based distribution.</w:t>
      </w:r>
      <w:r w:rsidR="006F6015">
        <w:rPr>
          <w:rFonts w:ascii="Times New Roman" w:hAnsi="Times New Roman" w:cs="Times New Roman"/>
          <w:sz w:val="24"/>
          <w:szCs w:val="24"/>
        </w:rPr>
        <w:t xml:space="preserve"> Although a vast decrease in domestic migration seems ubiquitous for the country, except for central and southern areas of the states of Arizona and Florida.</w:t>
      </w:r>
    </w:p>
    <w:p w14:paraId="7EC117B6" w14:textId="2750B885" w:rsidR="00BC1EBC" w:rsidRDefault="00BC1EBC" w:rsidP="0037376A">
      <w:pPr>
        <w:rPr>
          <w:rFonts w:ascii="Times New Roman" w:hAnsi="Times New Roman" w:cs="Times New Roman"/>
          <w:sz w:val="24"/>
          <w:szCs w:val="24"/>
        </w:rPr>
      </w:pPr>
      <w:r>
        <w:rPr>
          <w:rFonts w:ascii="Times New Roman" w:hAnsi="Times New Roman" w:cs="Times New Roman"/>
          <w:sz w:val="24"/>
          <w:szCs w:val="24"/>
        </w:rPr>
        <w:t>…</w:t>
      </w:r>
    </w:p>
    <w:p w14:paraId="1093B8EC" w14:textId="0604AF29" w:rsidR="00343A9F" w:rsidRDefault="001111B4" w:rsidP="0037376A">
      <w:pPr>
        <w:rPr>
          <w:rFonts w:ascii="Times New Roman" w:hAnsi="Times New Roman" w:cs="Times New Roman"/>
          <w:sz w:val="24"/>
          <w:szCs w:val="24"/>
        </w:rPr>
      </w:pPr>
      <w:r>
        <w:rPr>
          <w:rFonts w:ascii="Times New Roman" w:hAnsi="Times New Roman" w:cs="Times New Roman"/>
          <w:sz w:val="24"/>
          <w:szCs w:val="24"/>
        </w:rPr>
        <w:t xml:space="preserve">The concentration of </w:t>
      </w:r>
      <w:r w:rsidR="00B32C40">
        <w:rPr>
          <w:rFonts w:ascii="Times New Roman" w:hAnsi="Times New Roman" w:cs="Times New Roman"/>
          <w:sz w:val="24"/>
          <w:szCs w:val="24"/>
        </w:rPr>
        <w:t>lesser or greater change</w:t>
      </w:r>
      <w:r>
        <w:rPr>
          <w:rFonts w:ascii="Times New Roman" w:hAnsi="Times New Roman" w:cs="Times New Roman"/>
          <w:sz w:val="24"/>
          <w:szCs w:val="24"/>
        </w:rPr>
        <w:t xml:space="preserve"> in the accounted quantity of international migrants seems strongest in the Midwestern to the leftward tail-end of the mid-Atlantic region.</w:t>
      </w:r>
      <w:r w:rsidR="006F6015">
        <w:rPr>
          <w:rFonts w:ascii="Times New Roman" w:hAnsi="Times New Roman" w:cs="Times New Roman"/>
          <w:sz w:val="24"/>
          <w:szCs w:val="24"/>
        </w:rPr>
        <w:t xml:space="preserve"> Although specific areas of notable increase for international migrancy is the center of the mainland and central Florida, whereas areas of notable decrease are too decentralized to pinpoint.</w:t>
      </w:r>
    </w:p>
    <w:p w14:paraId="61718679" w14:textId="5B40BB07" w:rsidR="00343A9F" w:rsidRDefault="00343A9F" w:rsidP="0037376A">
      <w:pPr>
        <w:rPr>
          <w:rFonts w:ascii="Times New Roman" w:hAnsi="Times New Roman" w:cs="Times New Roman"/>
          <w:sz w:val="24"/>
          <w:szCs w:val="24"/>
        </w:rPr>
      </w:pPr>
    </w:p>
    <w:p w14:paraId="5D53EB09" w14:textId="66B6A290" w:rsidR="00343A9F" w:rsidRDefault="00343A9F" w:rsidP="0037376A">
      <w:pPr>
        <w:rPr>
          <w:rFonts w:ascii="Times New Roman" w:hAnsi="Times New Roman" w:cs="Times New Roman"/>
          <w:b/>
          <w:bCs/>
          <w:sz w:val="24"/>
          <w:szCs w:val="24"/>
        </w:rPr>
      </w:pPr>
      <w:r w:rsidRPr="006F6015">
        <w:rPr>
          <w:rFonts w:ascii="Times New Roman" w:hAnsi="Times New Roman" w:cs="Times New Roman"/>
          <w:b/>
          <w:bCs/>
          <w:sz w:val="24"/>
          <w:szCs w:val="24"/>
        </w:rPr>
        <w:t xml:space="preserve">‘Speculation’ </w:t>
      </w:r>
      <w:r w:rsidR="000E798F">
        <w:rPr>
          <w:rFonts w:ascii="Times New Roman" w:hAnsi="Times New Roman" w:cs="Times New Roman"/>
          <w:b/>
          <w:bCs/>
          <w:sz w:val="24"/>
          <w:szCs w:val="24"/>
        </w:rPr>
        <w:t>S</w:t>
      </w:r>
      <w:r w:rsidRPr="006F6015">
        <w:rPr>
          <w:rFonts w:ascii="Times New Roman" w:hAnsi="Times New Roman" w:cs="Times New Roman"/>
          <w:b/>
          <w:bCs/>
          <w:sz w:val="24"/>
          <w:szCs w:val="24"/>
        </w:rPr>
        <w:t>imilarities</w:t>
      </w:r>
      <w:r w:rsidR="000E798F">
        <w:rPr>
          <w:rFonts w:ascii="Times New Roman" w:hAnsi="Times New Roman" w:cs="Times New Roman"/>
          <w:b/>
          <w:bCs/>
          <w:sz w:val="24"/>
          <w:szCs w:val="24"/>
        </w:rPr>
        <w:t xml:space="preserve"> and Differences</w:t>
      </w:r>
      <w:r w:rsidR="00BE7E8A" w:rsidRPr="006F6015">
        <w:rPr>
          <w:rFonts w:ascii="Times New Roman" w:hAnsi="Times New Roman" w:cs="Times New Roman"/>
          <w:b/>
          <w:bCs/>
          <w:sz w:val="24"/>
          <w:szCs w:val="24"/>
        </w:rPr>
        <w:t xml:space="preserve"> (lacking in IRS data)</w:t>
      </w:r>
    </w:p>
    <w:p w14:paraId="2C10A90F" w14:textId="087AEC1B" w:rsidR="00343A9F" w:rsidRDefault="006F6015" w:rsidP="0037376A">
      <w:pPr>
        <w:rPr>
          <w:rFonts w:ascii="Times New Roman" w:hAnsi="Times New Roman" w:cs="Times New Roman"/>
          <w:sz w:val="24"/>
          <w:szCs w:val="24"/>
        </w:rPr>
      </w:pPr>
      <w:r>
        <w:rPr>
          <w:rFonts w:ascii="Times New Roman" w:hAnsi="Times New Roman" w:cs="Times New Roman"/>
          <w:sz w:val="24"/>
          <w:szCs w:val="24"/>
        </w:rPr>
        <w:t>From 2019 until the following year, the coastal regions of the United States have been depicted showing little change in fertility, a slight but notable increase in mortality, a polarized, but unable to be summarized trend in domestic migration, and a theme of less international migration.</w:t>
      </w:r>
      <w:r w:rsidR="000E798F">
        <w:rPr>
          <w:rFonts w:ascii="Times New Roman" w:hAnsi="Times New Roman" w:cs="Times New Roman"/>
          <w:sz w:val="24"/>
          <w:szCs w:val="24"/>
        </w:rPr>
        <w:t xml:space="preserve"> In contrast, the inland regions experienced an improved state </w:t>
      </w:r>
      <w:r w:rsidR="00817014">
        <w:rPr>
          <w:rFonts w:ascii="Times New Roman" w:hAnsi="Times New Roman" w:cs="Times New Roman"/>
          <w:sz w:val="24"/>
          <w:szCs w:val="24"/>
        </w:rPr>
        <w:t xml:space="preserve">of </w:t>
      </w:r>
      <w:r w:rsidR="00222D15">
        <w:rPr>
          <w:rFonts w:ascii="Times New Roman" w:hAnsi="Times New Roman" w:cs="Times New Roman"/>
          <w:sz w:val="24"/>
          <w:szCs w:val="24"/>
        </w:rPr>
        <w:t>fertility</w:t>
      </w:r>
      <w:r w:rsidR="00817014">
        <w:rPr>
          <w:rFonts w:ascii="Times New Roman" w:hAnsi="Times New Roman" w:cs="Times New Roman"/>
          <w:sz w:val="24"/>
          <w:szCs w:val="24"/>
        </w:rPr>
        <w:t>, while also incurring the greatest detriments and benefits regarding</w:t>
      </w:r>
      <w:r w:rsidR="00222D15">
        <w:rPr>
          <w:rFonts w:ascii="Times New Roman" w:hAnsi="Times New Roman" w:cs="Times New Roman"/>
          <w:sz w:val="24"/>
          <w:szCs w:val="24"/>
        </w:rPr>
        <w:t xml:space="preserve"> mortality. However, both international and domestic migration notably declined in the landlocked states, except for midwestern ‘pores’ of increased international migrancy.</w:t>
      </w:r>
    </w:p>
    <w:p w14:paraId="6EC07FDA" w14:textId="69F5C94D" w:rsidR="004F5FD7" w:rsidRDefault="004F5FD7" w:rsidP="0037376A">
      <w:pPr>
        <w:rPr>
          <w:rFonts w:ascii="Times New Roman" w:hAnsi="Times New Roman" w:cs="Times New Roman"/>
          <w:sz w:val="24"/>
          <w:szCs w:val="24"/>
        </w:rPr>
      </w:pPr>
    </w:p>
    <w:p w14:paraId="15387999" w14:textId="11941774" w:rsidR="004F5FD7" w:rsidRDefault="004F5FD7" w:rsidP="0037376A">
      <w:pPr>
        <w:rPr>
          <w:rFonts w:ascii="Times New Roman" w:hAnsi="Times New Roman" w:cs="Times New Roman"/>
          <w:sz w:val="24"/>
          <w:szCs w:val="24"/>
        </w:rPr>
      </w:pPr>
      <w:r>
        <w:rPr>
          <w:rFonts w:ascii="Times New Roman" w:hAnsi="Times New Roman" w:cs="Times New Roman"/>
          <w:sz w:val="24"/>
          <w:szCs w:val="24"/>
        </w:rPr>
        <w:t>*Age? Employment? COVID Rates?*</w:t>
      </w:r>
    </w:p>
    <w:p w14:paraId="79547482" w14:textId="50891288" w:rsidR="004F5FD7" w:rsidRPr="000E798F" w:rsidRDefault="004F5FD7" w:rsidP="004F5FD7">
      <w:pPr>
        <w:rPr>
          <w:rFonts w:ascii="Times New Roman" w:hAnsi="Times New Roman" w:cs="Times New Roman"/>
          <w:sz w:val="24"/>
          <w:szCs w:val="24"/>
        </w:rPr>
      </w:pPr>
      <w:r>
        <w:rPr>
          <w:rFonts w:ascii="Times New Roman" w:hAnsi="Times New Roman" w:cs="Times New Roman"/>
          <w:sz w:val="24"/>
          <w:szCs w:val="24"/>
        </w:rPr>
        <w:t>“</w:t>
      </w:r>
      <w:r w:rsidRPr="004F5FD7">
        <w:rPr>
          <w:rFonts w:ascii="Times New Roman" w:hAnsi="Times New Roman" w:cs="Times New Roman"/>
          <w:sz w:val="24"/>
          <w:szCs w:val="24"/>
        </w:rPr>
        <w:t>In short, MSAs with relatively large numbers of older residents are clearly</w:t>
      </w:r>
      <w:r>
        <w:rPr>
          <w:rFonts w:ascii="Times New Roman" w:hAnsi="Times New Roman" w:cs="Times New Roman"/>
          <w:sz w:val="24"/>
          <w:szCs w:val="24"/>
        </w:rPr>
        <w:t xml:space="preserve"> </w:t>
      </w:r>
      <w:r w:rsidRPr="004F5FD7">
        <w:rPr>
          <w:rFonts w:ascii="Times New Roman" w:hAnsi="Times New Roman" w:cs="Times New Roman"/>
          <w:sz w:val="24"/>
          <w:szCs w:val="24"/>
        </w:rPr>
        <w:t>heterogeneous with respect to location, to the demographic and economic forces</w:t>
      </w:r>
      <w:r>
        <w:rPr>
          <w:rFonts w:ascii="Times New Roman" w:hAnsi="Times New Roman" w:cs="Times New Roman"/>
          <w:sz w:val="24"/>
          <w:szCs w:val="24"/>
        </w:rPr>
        <w:t xml:space="preserve"> </w:t>
      </w:r>
      <w:r w:rsidRPr="004F5FD7">
        <w:rPr>
          <w:rFonts w:ascii="Times New Roman" w:hAnsi="Times New Roman" w:cs="Times New Roman"/>
          <w:sz w:val="24"/>
          <w:szCs w:val="24"/>
        </w:rPr>
        <w:t>that brought about this type of age structure, and ultimately to their recorded rate</w:t>
      </w:r>
      <w:r>
        <w:rPr>
          <w:rFonts w:ascii="Times New Roman" w:hAnsi="Times New Roman" w:cs="Times New Roman"/>
          <w:sz w:val="24"/>
          <w:szCs w:val="24"/>
        </w:rPr>
        <w:t xml:space="preserve"> </w:t>
      </w:r>
      <w:r w:rsidRPr="004F5FD7">
        <w:rPr>
          <w:rFonts w:ascii="Times New Roman" w:hAnsi="Times New Roman" w:cs="Times New Roman"/>
          <w:sz w:val="24"/>
          <w:szCs w:val="24"/>
        </w:rPr>
        <w:t>of population growth during the most recent intercensal period</w:t>
      </w:r>
      <w:r>
        <w:rPr>
          <w:rFonts w:ascii="Times New Roman" w:hAnsi="Times New Roman" w:cs="Times New Roman"/>
          <w:sz w:val="24"/>
          <w:szCs w:val="24"/>
        </w:rPr>
        <w:t>.”</w:t>
      </w:r>
    </w:p>
    <w:p w14:paraId="5622EACC" w14:textId="3F5A91AF" w:rsidR="0015224D" w:rsidRPr="00531FFC" w:rsidRDefault="0015224D" w:rsidP="0037376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64A409A" w14:textId="77777777" w:rsidR="002A7C6C" w:rsidRDefault="002A7C6C" w:rsidP="00E9707C">
      <w:pPr>
        <w:jc w:val="center"/>
        <w:rPr>
          <w:rFonts w:ascii="Times New Roman" w:hAnsi="Times New Roman" w:cs="Times New Roman"/>
          <w:b/>
          <w:bCs/>
          <w:sz w:val="24"/>
          <w:szCs w:val="24"/>
        </w:rPr>
      </w:pPr>
    </w:p>
    <w:p w14:paraId="20454EEC" w14:textId="77777777" w:rsidR="002A7C6C" w:rsidRDefault="002A7C6C" w:rsidP="00E9707C">
      <w:pPr>
        <w:jc w:val="center"/>
        <w:rPr>
          <w:rFonts w:ascii="Times New Roman" w:hAnsi="Times New Roman" w:cs="Times New Roman"/>
          <w:b/>
          <w:bCs/>
          <w:sz w:val="24"/>
          <w:szCs w:val="24"/>
        </w:rPr>
      </w:pPr>
    </w:p>
    <w:p w14:paraId="6BBBFF75" w14:textId="799D3D4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lastRenderedPageBreak/>
        <w:t>Sources</w:t>
      </w:r>
    </w:p>
    <w:p w14:paraId="5FDDBA42" w14:textId="076A0790" w:rsidR="00A72DAC" w:rsidRDefault="00A72DAC" w:rsidP="0037376A">
      <w:pPr>
        <w:rPr>
          <w:rFonts w:ascii="Times New Roman" w:hAnsi="Times New Roman" w:cs="Times New Roman"/>
          <w:sz w:val="24"/>
          <w:szCs w:val="24"/>
        </w:rPr>
      </w:pPr>
      <w:r w:rsidRPr="00A72DAC">
        <w:rPr>
          <w:rFonts w:ascii="Times New Roman" w:hAnsi="Times New Roman" w:cs="Times New Roman"/>
          <w:sz w:val="24"/>
          <w:szCs w:val="24"/>
        </w:rPr>
        <w:t>DeWaard, J., Fussell, E., Curtis, K. J., &amp; Ha, J. T. (2017). Spatial Manifestations of the “Great American Migration Slowdown”: A Decomposition of Inter-County Migration Rates, 1990-2012. Working Paper# 2017-4, Minnesota Population Center, University of Minnesota.</w:t>
      </w:r>
    </w:p>
    <w:p w14:paraId="09B0CD19" w14:textId="3ABF8CD4" w:rsidR="003E04C4" w:rsidRDefault="003E04C4" w:rsidP="0037376A">
      <w:pPr>
        <w:rPr>
          <w:rFonts w:ascii="Times New Roman" w:hAnsi="Times New Roman" w:cs="Times New Roman"/>
          <w:sz w:val="24"/>
          <w:szCs w:val="24"/>
        </w:rPr>
      </w:pPr>
      <w:r w:rsidRPr="003E04C4">
        <w:rPr>
          <w:rFonts w:ascii="Times New Roman" w:hAnsi="Times New Roman" w:cs="Times New Roman"/>
          <w:sz w:val="24"/>
          <w:szCs w:val="24"/>
        </w:rPr>
        <w:t>Johnson, K. M. (2017). New Data Show US Birth Rate Hits Record Low.</w:t>
      </w:r>
    </w:p>
    <w:p w14:paraId="4260DCB5" w14:textId="5469EDB6"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Lau, H., Khosrawipour, V., Kocbach, P., Mikolajczyk, A., Ichii, H., Zacharski, M., ... &amp; Khosrawipour, T. (2020). The association between international and domestic air traffic and the coronavirus (COVID-19) outbreak. Journal of Microbiology, Immunology and Infection, 53(3), 467-472.</w:t>
      </w:r>
    </w:p>
    <w:p w14:paraId="7ED1507B" w14:textId="06F86996" w:rsidR="009A7B5C" w:rsidRDefault="009A7B5C" w:rsidP="0037376A">
      <w:pPr>
        <w:rPr>
          <w:rFonts w:ascii="Times New Roman" w:hAnsi="Times New Roman" w:cs="Times New Roman"/>
          <w:sz w:val="24"/>
          <w:szCs w:val="24"/>
        </w:rPr>
      </w:pPr>
      <w:r w:rsidRPr="009A7B5C">
        <w:rPr>
          <w:rFonts w:ascii="Times New Roman" w:hAnsi="Times New Roman" w:cs="Times New Roman"/>
          <w:sz w:val="24"/>
          <w:szCs w:val="24"/>
        </w:rPr>
        <w:t>Li, A. Y., Hannah, T. C., Durbin, J., Dreher, N., McAuley, F. M., Marayati, N. F., ... &amp; Choudhri, T. F. (2020). Multivariate analysis of factors affecting COVID-19 case and death rate in US Counties: the significant effects of Black race and temperature. medRxiv.</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Lin, A. Y., Cranshaw,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Linka, K., Rahman, P., Goriely,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2E2DD385" w:rsidR="00290E1E" w:rsidRDefault="00290E1E" w:rsidP="0037376A">
      <w:pPr>
        <w:rPr>
          <w:rFonts w:ascii="Times New Roman" w:hAnsi="Times New Roman" w:cs="Times New Roman"/>
          <w:sz w:val="24"/>
          <w:szCs w:val="24"/>
        </w:rPr>
      </w:pPr>
    </w:p>
    <w:sectPr w:rsidR="0029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D04"/>
    <w:multiLevelType w:val="hybridMultilevel"/>
    <w:tmpl w:val="EDAA3396"/>
    <w:lvl w:ilvl="0" w:tplc="5E125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4"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D083E"/>
    <w:rsid w:val="000E798F"/>
    <w:rsid w:val="00102CA1"/>
    <w:rsid w:val="001111B4"/>
    <w:rsid w:val="00113DA3"/>
    <w:rsid w:val="00114102"/>
    <w:rsid w:val="00121197"/>
    <w:rsid w:val="0012767C"/>
    <w:rsid w:val="001457ED"/>
    <w:rsid w:val="0015224D"/>
    <w:rsid w:val="00157DFC"/>
    <w:rsid w:val="00161CBC"/>
    <w:rsid w:val="0018035A"/>
    <w:rsid w:val="001E4C21"/>
    <w:rsid w:val="001E70A7"/>
    <w:rsid w:val="00203149"/>
    <w:rsid w:val="002051E2"/>
    <w:rsid w:val="00216CC1"/>
    <w:rsid w:val="00222D15"/>
    <w:rsid w:val="00222FD8"/>
    <w:rsid w:val="00234271"/>
    <w:rsid w:val="00235A1C"/>
    <w:rsid w:val="0025397E"/>
    <w:rsid w:val="00282DA2"/>
    <w:rsid w:val="00290E1E"/>
    <w:rsid w:val="002A7C6C"/>
    <w:rsid w:val="002D5A9A"/>
    <w:rsid w:val="002E78BE"/>
    <w:rsid w:val="0030163F"/>
    <w:rsid w:val="00304F39"/>
    <w:rsid w:val="00312FA2"/>
    <w:rsid w:val="00343A9F"/>
    <w:rsid w:val="00354073"/>
    <w:rsid w:val="0037376A"/>
    <w:rsid w:val="00375115"/>
    <w:rsid w:val="003824A8"/>
    <w:rsid w:val="003A106B"/>
    <w:rsid w:val="003E04C4"/>
    <w:rsid w:val="003E1664"/>
    <w:rsid w:val="003E1EB6"/>
    <w:rsid w:val="003E385A"/>
    <w:rsid w:val="00406436"/>
    <w:rsid w:val="004124ED"/>
    <w:rsid w:val="00413F08"/>
    <w:rsid w:val="00426BF4"/>
    <w:rsid w:val="00426DF3"/>
    <w:rsid w:val="00434064"/>
    <w:rsid w:val="00465AA8"/>
    <w:rsid w:val="00477C97"/>
    <w:rsid w:val="004908CE"/>
    <w:rsid w:val="004A0B60"/>
    <w:rsid w:val="004A2FE0"/>
    <w:rsid w:val="004B3859"/>
    <w:rsid w:val="004D2CD0"/>
    <w:rsid w:val="004F1EC4"/>
    <w:rsid w:val="004F5FD7"/>
    <w:rsid w:val="00524F48"/>
    <w:rsid w:val="00531FFC"/>
    <w:rsid w:val="00537C49"/>
    <w:rsid w:val="005513EC"/>
    <w:rsid w:val="00552C95"/>
    <w:rsid w:val="00567F83"/>
    <w:rsid w:val="00572FAA"/>
    <w:rsid w:val="00584537"/>
    <w:rsid w:val="005B33ED"/>
    <w:rsid w:val="005B3D1E"/>
    <w:rsid w:val="005C2B74"/>
    <w:rsid w:val="005E106F"/>
    <w:rsid w:val="005F3360"/>
    <w:rsid w:val="005F6677"/>
    <w:rsid w:val="00602E00"/>
    <w:rsid w:val="00602FF7"/>
    <w:rsid w:val="00615049"/>
    <w:rsid w:val="00623EE5"/>
    <w:rsid w:val="00655C4B"/>
    <w:rsid w:val="006625BB"/>
    <w:rsid w:val="006737C1"/>
    <w:rsid w:val="00680399"/>
    <w:rsid w:val="006845EE"/>
    <w:rsid w:val="00687C4E"/>
    <w:rsid w:val="006953BF"/>
    <w:rsid w:val="006E0AA4"/>
    <w:rsid w:val="006E485C"/>
    <w:rsid w:val="006F0EE2"/>
    <w:rsid w:val="006F6015"/>
    <w:rsid w:val="006F68FA"/>
    <w:rsid w:val="0070679B"/>
    <w:rsid w:val="0073633D"/>
    <w:rsid w:val="00737F3C"/>
    <w:rsid w:val="00760704"/>
    <w:rsid w:val="007668CD"/>
    <w:rsid w:val="00766A9B"/>
    <w:rsid w:val="007A4979"/>
    <w:rsid w:val="007A681A"/>
    <w:rsid w:val="007F11B1"/>
    <w:rsid w:val="00817014"/>
    <w:rsid w:val="0085499B"/>
    <w:rsid w:val="008A27F4"/>
    <w:rsid w:val="008A6C46"/>
    <w:rsid w:val="0090708C"/>
    <w:rsid w:val="00965678"/>
    <w:rsid w:val="00970758"/>
    <w:rsid w:val="00980D9C"/>
    <w:rsid w:val="009A6879"/>
    <w:rsid w:val="009A70D1"/>
    <w:rsid w:val="009A7B5C"/>
    <w:rsid w:val="009B4265"/>
    <w:rsid w:val="009B4F85"/>
    <w:rsid w:val="009C248D"/>
    <w:rsid w:val="009D6A0F"/>
    <w:rsid w:val="00A070F5"/>
    <w:rsid w:val="00A14FB1"/>
    <w:rsid w:val="00A72DAC"/>
    <w:rsid w:val="00A8163C"/>
    <w:rsid w:val="00AB3432"/>
    <w:rsid w:val="00AB6443"/>
    <w:rsid w:val="00AC545C"/>
    <w:rsid w:val="00AC6BA5"/>
    <w:rsid w:val="00AD0EEF"/>
    <w:rsid w:val="00B178F7"/>
    <w:rsid w:val="00B30BBB"/>
    <w:rsid w:val="00B32C40"/>
    <w:rsid w:val="00B41B6C"/>
    <w:rsid w:val="00B51D11"/>
    <w:rsid w:val="00B90238"/>
    <w:rsid w:val="00B934BC"/>
    <w:rsid w:val="00BA37DF"/>
    <w:rsid w:val="00BC1EBC"/>
    <w:rsid w:val="00BC7AC7"/>
    <w:rsid w:val="00BE7E8A"/>
    <w:rsid w:val="00C3239F"/>
    <w:rsid w:val="00C52633"/>
    <w:rsid w:val="00C6719B"/>
    <w:rsid w:val="00C86739"/>
    <w:rsid w:val="00CB2541"/>
    <w:rsid w:val="00CC1736"/>
    <w:rsid w:val="00CD2F71"/>
    <w:rsid w:val="00CE13F3"/>
    <w:rsid w:val="00D122F5"/>
    <w:rsid w:val="00D7205D"/>
    <w:rsid w:val="00D80529"/>
    <w:rsid w:val="00DA2C95"/>
    <w:rsid w:val="00DA5E6D"/>
    <w:rsid w:val="00DD4A6A"/>
    <w:rsid w:val="00DE0B27"/>
    <w:rsid w:val="00E02BCA"/>
    <w:rsid w:val="00E110FF"/>
    <w:rsid w:val="00E2681B"/>
    <w:rsid w:val="00E35769"/>
    <w:rsid w:val="00E57904"/>
    <w:rsid w:val="00E72EB0"/>
    <w:rsid w:val="00E8678B"/>
    <w:rsid w:val="00E9707C"/>
    <w:rsid w:val="00EA020B"/>
    <w:rsid w:val="00EB3EF4"/>
    <w:rsid w:val="00ED0807"/>
    <w:rsid w:val="00ED3906"/>
    <w:rsid w:val="00F101D7"/>
    <w:rsid w:val="00F10F53"/>
    <w:rsid w:val="00F240EB"/>
    <w:rsid w:val="00F3532A"/>
    <w:rsid w:val="00F4558A"/>
    <w:rsid w:val="00F6520F"/>
    <w:rsid w:val="00F808C4"/>
    <w:rsid w:val="00FA6428"/>
    <w:rsid w:val="00FB4CC2"/>
    <w:rsid w:val="00FC4284"/>
    <w:rsid w:val="00FE0492"/>
    <w:rsid w:val="00FE08F6"/>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11</Pages>
  <Words>4822</Words>
  <Characters>27491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99</cp:revision>
  <dcterms:created xsi:type="dcterms:W3CDTF">2021-05-17T00:06:00Z</dcterms:created>
  <dcterms:modified xsi:type="dcterms:W3CDTF">2021-07-12T14:30:00Z</dcterms:modified>
</cp:coreProperties>
</file>