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 xml:space="preserve">Also, many countries reduced human contact “through limiting large gatherings, closing schools, or implementing total lockdowns” (Linka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in light of the SARS-CoV-2 pandemic. Despite the majority of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minority groups to work essential jobs that also require close proximity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274DC042" w14:textId="6A5309CF"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11)</w:t>
      </w:r>
    </w:p>
    <w:p w14:paraId="6F19AF77" w14:textId="476D5FBE" w:rsidR="00567F83" w:rsidRDefault="00567F83" w:rsidP="0037376A">
      <w:pPr>
        <w:pBdr>
          <w:bottom w:val="single" w:sz="12" w:space="1" w:color="auto"/>
        </w:pBdr>
        <w:rPr>
          <w:rFonts w:ascii="Times New Roman" w:hAnsi="Times New Roman" w:cs="Times New Roman"/>
          <w:sz w:val="24"/>
          <w:szCs w:val="24"/>
        </w:rPr>
      </w:pPr>
    </w:p>
    <w:p w14:paraId="7ECF6791" w14:textId="77777777" w:rsidR="0015224D" w:rsidRDefault="0015224D" w:rsidP="0037376A">
      <w:pPr>
        <w:rPr>
          <w:rFonts w:ascii="Times New Roman" w:hAnsi="Times New Roman" w:cs="Times New Roman"/>
          <w:sz w:val="24"/>
          <w:szCs w:val="24"/>
        </w:rPr>
      </w:pPr>
    </w:p>
    <w:p w14:paraId="277338AD" w14:textId="77777777" w:rsidR="0015224D" w:rsidRDefault="0015224D" w:rsidP="0037376A">
      <w:pPr>
        <w:rPr>
          <w:rFonts w:ascii="Times New Roman" w:hAnsi="Times New Roman" w:cs="Times New Roman"/>
          <w:sz w:val="24"/>
          <w:szCs w:val="24"/>
        </w:rPr>
      </w:pPr>
    </w:p>
    <w:p w14:paraId="300A07CB" w14:textId="52CD2F50" w:rsidR="0015224D" w:rsidRDefault="0015224D" w:rsidP="0037376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AA08024" wp14:editId="4DF9D930">
            <wp:simplePos x="0" y="0"/>
            <wp:positionH relativeFrom="column">
              <wp:posOffset>0</wp:posOffset>
            </wp:positionH>
            <wp:positionV relativeFrom="paragraph">
              <wp:posOffset>0</wp:posOffset>
            </wp:positionV>
            <wp:extent cx="5943600" cy="3313430"/>
            <wp:effectExtent l="0" t="0" r="0" b="1270"/>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anchor>
        </w:drawing>
      </w:r>
      <w:r w:rsidR="00E2681B">
        <w:rPr>
          <w:rFonts w:ascii="Times New Roman" w:hAnsi="Times New Roman" w:cs="Times New Roman"/>
          <w:sz w:val="24"/>
          <w:szCs w:val="24"/>
        </w:rPr>
        <w:t xml:space="preserve">I must repeat the disclaimer that this depiction of fertility does not present the effect of the </w:t>
      </w:r>
      <w:r w:rsidR="004F1EC4">
        <w:rPr>
          <w:rFonts w:ascii="Times New Roman" w:hAnsi="Times New Roman" w:cs="Times New Roman"/>
          <w:sz w:val="24"/>
          <w:szCs w:val="24"/>
        </w:rPr>
        <w:t>decline</w:t>
      </w:r>
      <w:r w:rsidR="00E2681B">
        <w:rPr>
          <w:rFonts w:ascii="Times New Roman" w:hAnsi="Times New Roman" w:cs="Times New Roman"/>
          <w:sz w:val="24"/>
          <w:szCs w:val="24"/>
        </w:rPr>
        <w:t xml:space="preserve"> in births experienced towards the end of 2020, </w:t>
      </w:r>
      <w:r w:rsidR="004F1EC4">
        <w:rPr>
          <w:rFonts w:ascii="Times New Roman" w:hAnsi="Times New Roman" w:cs="Times New Roman"/>
          <w:sz w:val="24"/>
          <w:szCs w:val="24"/>
        </w:rPr>
        <w:t xml:space="preserve">which </w:t>
      </w:r>
      <w:r w:rsidR="00E2681B">
        <w:rPr>
          <w:rFonts w:ascii="Times New Roman" w:hAnsi="Times New Roman" w:cs="Times New Roman"/>
          <w:sz w:val="24"/>
          <w:szCs w:val="24"/>
        </w:rPr>
        <w:t>the Coronavirus</w:t>
      </w:r>
      <w:r w:rsidR="004F1EC4">
        <w:rPr>
          <w:rFonts w:ascii="Times New Roman" w:hAnsi="Times New Roman" w:cs="Times New Roman"/>
          <w:sz w:val="24"/>
          <w:szCs w:val="24"/>
        </w:rPr>
        <w:t xml:space="preserve"> caused</w:t>
      </w:r>
      <w:r w:rsidR="00E2681B">
        <w:rPr>
          <w:rFonts w:ascii="Times New Roman" w:hAnsi="Times New Roman" w:cs="Times New Roman"/>
          <w:sz w:val="24"/>
          <w:szCs w:val="24"/>
        </w:rPr>
        <w:t xml:space="preserve">. </w:t>
      </w:r>
      <w:r w:rsidR="00343A9F">
        <w:rPr>
          <w:rFonts w:ascii="Times New Roman" w:hAnsi="Times New Roman" w:cs="Times New Roman"/>
          <w:sz w:val="24"/>
          <w:szCs w:val="24"/>
        </w:rPr>
        <w:t>Drastic decreases or increases in fertility were rarely observed</w:t>
      </w:r>
      <w:r w:rsidR="00E2681B">
        <w:rPr>
          <w:rFonts w:ascii="Times New Roman" w:hAnsi="Times New Roman" w:cs="Times New Roman"/>
          <w:sz w:val="24"/>
          <w:szCs w:val="24"/>
        </w:rPr>
        <w:t xml:space="preserve"> if at all</w:t>
      </w:r>
      <w:r w:rsidR="00343A9F">
        <w:rPr>
          <w:rFonts w:ascii="Times New Roman" w:hAnsi="Times New Roman" w:cs="Times New Roman"/>
          <w:sz w:val="24"/>
          <w:szCs w:val="24"/>
        </w:rPr>
        <w:t>.</w:t>
      </w:r>
      <w:r w:rsidR="00E2681B">
        <w:rPr>
          <w:rFonts w:ascii="Times New Roman" w:hAnsi="Times New Roman" w:cs="Times New Roman"/>
          <w:sz w:val="24"/>
          <w:szCs w:val="24"/>
        </w:rPr>
        <w:t xml:space="preserve"> The coastal regions are by-and-large ‘</w:t>
      </w:r>
      <w:r w:rsidR="004F1EC4">
        <w:rPr>
          <w:rFonts w:ascii="Times New Roman" w:hAnsi="Times New Roman" w:cs="Times New Roman"/>
          <w:sz w:val="24"/>
          <w:szCs w:val="24"/>
        </w:rPr>
        <w:t>pink</w:t>
      </w:r>
      <w:r w:rsidR="00E2681B">
        <w:rPr>
          <w:rFonts w:ascii="Times New Roman" w:hAnsi="Times New Roman" w:cs="Times New Roman"/>
          <w:sz w:val="24"/>
          <w:szCs w:val="24"/>
        </w:rPr>
        <w:t>’</w:t>
      </w:r>
      <w:r w:rsidR="006F6015">
        <w:rPr>
          <w:rFonts w:ascii="Times New Roman" w:hAnsi="Times New Roman" w:cs="Times New Roman"/>
          <w:sz w:val="24"/>
          <w:szCs w:val="24"/>
        </w:rPr>
        <w:t xml:space="preserve"> (in a moderate sense)</w:t>
      </w:r>
      <w:r w:rsidR="004F1EC4">
        <w:rPr>
          <w:rFonts w:ascii="Times New Roman" w:hAnsi="Times New Roman" w:cs="Times New Roman"/>
          <w:sz w:val="24"/>
          <w:szCs w:val="24"/>
        </w:rPr>
        <w:t>, whereas</w:t>
      </w:r>
      <w:r w:rsidR="00E2681B">
        <w:rPr>
          <w:rFonts w:ascii="Times New Roman" w:hAnsi="Times New Roman" w:cs="Times New Roman"/>
          <w:sz w:val="24"/>
          <w:szCs w:val="24"/>
        </w:rPr>
        <w:t xml:space="preserve"> </w:t>
      </w:r>
      <w:r w:rsidR="004F1EC4">
        <w:rPr>
          <w:rFonts w:ascii="Times New Roman" w:hAnsi="Times New Roman" w:cs="Times New Roman"/>
          <w:sz w:val="24"/>
          <w:szCs w:val="24"/>
        </w:rPr>
        <w:t>t</w:t>
      </w:r>
      <w:r w:rsidR="00E2681B">
        <w:rPr>
          <w:rFonts w:ascii="Times New Roman" w:hAnsi="Times New Roman" w:cs="Times New Roman"/>
          <w:sz w:val="24"/>
          <w:szCs w:val="24"/>
        </w:rPr>
        <w:t>he ‘</w:t>
      </w:r>
      <w:r w:rsidR="004F1EC4">
        <w:rPr>
          <w:rFonts w:ascii="Times New Roman" w:hAnsi="Times New Roman" w:cs="Times New Roman"/>
          <w:sz w:val="24"/>
          <w:szCs w:val="24"/>
        </w:rPr>
        <w:t>green</w:t>
      </w:r>
      <w:r w:rsidR="00E2681B">
        <w:rPr>
          <w:rFonts w:ascii="Times New Roman" w:hAnsi="Times New Roman" w:cs="Times New Roman"/>
          <w:sz w:val="24"/>
          <w:szCs w:val="24"/>
        </w:rPr>
        <w:t xml:space="preserve">’ distribution appears to be concentrated in the </w:t>
      </w:r>
      <w:r w:rsidR="004F1EC4">
        <w:rPr>
          <w:rFonts w:ascii="Times New Roman" w:hAnsi="Times New Roman" w:cs="Times New Roman"/>
          <w:sz w:val="24"/>
          <w:szCs w:val="24"/>
        </w:rPr>
        <w:t>states that comprise the Rocky Mountains</w:t>
      </w:r>
      <w:r w:rsidR="00E2681B">
        <w:rPr>
          <w:rFonts w:ascii="Times New Roman" w:hAnsi="Times New Roman" w:cs="Times New Roman"/>
          <w:sz w:val="24"/>
          <w:szCs w:val="24"/>
        </w:rPr>
        <w:t xml:space="preserve"> </w:t>
      </w:r>
      <w:r w:rsidR="004F1EC4">
        <w:rPr>
          <w:rFonts w:ascii="Times New Roman" w:hAnsi="Times New Roman" w:cs="Times New Roman"/>
          <w:sz w:val="24"/>
          <w:szCs w:val="24"/>
        </w:rPr>
        <w:t xml:space="preserve">and </w:t>
      </w:r>
      <w:r w:rsidR="00E2681B">
        <w:rPr>
          <w:rFonts w:ascii="Times New Roman" w:hAnsi="Times New Roman" w:cs="Times New Roman"/>
          <w:sz w:val="24"/>
          <w:szCs w:val="24"/>
        </w:rPr>
        <w:t xml:space="preserve">the </w:t>
      </w:r>
      <w:r w:rsidR="004F1EC4">
        <w:rPr>
          <w:rFonts w:ascii="Times New Roman" w:hAnsi="Times New Roman" w:cs="Times New Roman"/>
          <w:sz w:val="24"/>
          <w:szCs w:val="24"/>
        </w:rPr>
        <w:t>Midwest</w:t>
      </w:r>
      <w:r w:rsidR="00E2681B">
        <w:rPr>
          <w:rFonts w:ascii="Times New Roman" w:hAnsi="Times New Roman" w:cs="Times New Roman"/>
          <w:sz w:val="24"/>
          <w:szCs w:val="24"/>
        </w:rPr>
        <w:t xml:space="preserve">. </w:t>
      </w:r>
    </w:p>
    <w:p w14:paraId="57D1A31C" w14:textId="68308ECD" w:rsidR="004F1EC4" w:rsidRDefault="0015224D" w:rsidP="0037376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40F78C2" wp14:editId="02408551">
            <wp:simplePos x="0" y="0"/>
            <wp:positionH relativeFrom="column">
              <wp:posOffset>0</wp:posOffset>
            </wp:positionH>
            <wp:positionV relativeFrom="paragraph">
              <wp:posOffset>-635</wp:posOffset>
            </wp:positionV>
            <wp:extent cx="5943600" cy="3228975"/>
            <wp:effectExtent l="0" t="0" r="0" b="9525"/>
            <wp:wrapTopAndBottom/>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anchor>
        </w:drawing>
      </w:r>
      <w:r w:rsidR="004F1EC4">
        <w:rPr>
          <w:rFonts w:ascii="Times New Roman" w:hAnsi="Times New Roman" w:cs="Times New Roman"/>
          <w:sz w:val="24"/>
          <w:szCs w:val="24"/>
        </w:rPr>
        <w:t>Spotty i</w:t>
      </w:r>
      <w:r w:rsidR="00E2681B">
        <w:rPr>
          <w:rFonts w:ascii="Times New Roman" w:hAnsi="Times New Roman" w:cs="Times New Roman"/>
          <w:sz w:val="24"/>
          <w:szCs w:val="24"/>
        </w:rPr>
        <w:t xml:space="preserve">mprovements in mortality seem practically exclusive to the </w:t>
      </w:r>
      <w:r w:rsidR="00615049">
        <w:rPr>
          <w:rFonts w:ascii="Times New Roman" w:hAnsi="Times New Roman" w:cs="Times New Roman"/>
          <w:sz w:val="24"/>
          <w:szCs w:val="24"/>
        </w:rPr>
        <w:t>inland</w:t>
      </w:r>
      <w:r w:rsidR="00E2681B">
        <w:rPr>
          <w:rFonts w:ascii="Times New Roman" w:hAnsi="Times New Roman" w:cs="Times New Roman"/>
          <w:sz w:val="24"/>
          <w:szCs w:val="24"/>
        </w:rPr>
        <w:t xml:space="preserve"> western and mid-western regions.</w:t>
      </w:r>
      <w:r w:rsidR="00817014">
        <w:rPr>
          <w:rFonts w:ascii="Times New Roman" w:hAnsi="Times New Roman" w:cs="Times New Roman"/>
          <w:sz w:val="24"/>
          <w:szCs w:val="24"/>
        </w:rPr>
        <w:t xml:space="preserve"> Although the effect of increased mortality can be observed in the states the </w:t>
      </w:r>
      <w:r w:rsidR="00817014">
        <w:rPr>
          <w:rFonts w:ascii="Times New Roman" w:hAnsi="Times New Roman" w:cs="Times New Roman"/>
          <w:sz w:val="24"/>
          <w:szCs w:val="24"/>
        </w:rPr>
        <w:lastRenderedPageBreak/>
        <w:t>comprise the Rocky Mountains and the Midwest.</w:t>
      </w:r>
      <w:r w:rsidR="00E2681B">
        <w:rPr>
          <w:rFonts w:ascii="Times New Roman" w:hAnsi="Times New Roman" w:cs="Times New Roman"/>
          <w:sz w:val="24"/>
          <w:szCs w:val="24"/>
        </w:rPr>
        <w:t xml:space="preserve"> To be more precise, the populated coastal borders of the ends of the country show little-to-no change.</w:t>
      </w:r>
    </w:p>
    <w:p w14:paraId="2157A048" w14:textId="1BEC6B00" w:rsidR="0015224D" w:rsidRDefault="0015224D" w:rsidP="0037376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57292C8" wp14:editId="1031A4D4">
            <wp:simplePos x="0" y="0"/>
            <wp:positionH relativeFrom="margin">
              <wp:align>right</wp:align>
            </wp:positionH>
            <wp:positionV relativeFrom="paragraph">
              <wp:posOffset>266065</wp:posOffset>
            </wp:positionV>
            <wp:extent cx="5943600" cy="3241675"/>
            <wp:effectExtent l="0" t="0" r="0" b="0"/>
            <wp:wrapTopAndBottom/>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anchor>
        </w:drawing>
      </w:r>
    </w:p>
    <w:p w14:paraId="50F3839A" w14:textId="7E4B233B" w:rsidR="0015224D" w:rsidRDefault="00965678" w:rsidP="0037376A">
      <w:pPr>
        <w:rPr>
          <w:rFonts w:ascii="Times New Roman" w:hAnsi="Times New Roman" w:cs="Times New Roman"/>
          <w:sz w:val="24"/>
          <w:szCs w:val="24"/>
        </w:rPr>
      </w:pPr>
      <w:r>
        <w:rPr>
          <w:rFonts w:ascii="Times New Roman" w:hAnsi="Times New Roman" w:cs="Times New Roman"/>
          <w:sz w:val="24"/>
          <w:szCs w:val="24"/>
        </w:rPr>
        <w:t>The trends of concentrated gain or loss of domestic migrants seems unable to</w:t>
      </w:r>
      <w:r w:rsidR="00FE08F6">
        <w:rPr>
          <w:rFonts w:ascii="Times New Roman" w:hAnsi="Times New Roman" w:cs="Times New Roman"/>
          <w:sz w:val="24"/>
          <w:szCs w:val="24"/>
        </w:rPr>
        <w:t xml:space="preserve"> be</w:t>
      </w:r>
      <w:r>
        <w:rPr>
          <w:rFonts w:ascii="Times New Roman" w:hAnsi="Times New Roman" w:cs="Times New Roman"/>
          <w:sz w:val="24"/>
          <w:szCs w:val="24"/>
        </w:rPr>
        <w:t xml:space="preserve"> infer</w:t>
      </w:r>
      <w:r w:rsidR="00FE08F6">
        <w:rPr>
          <w:rFonts w:ascii="Times New Roman" w:hAnsi="Times New Roman" w:cs="Times New Roman"/>
          <w:sz w:val="24"/>
          <w:szCs w:val="24"/>
        </w:rPr>
        <w:t>red</w:t>
      </w:r>
      <w:r>
        <w:rPr>
          <w:rFonts w:ascii="Times New Roman" w:hAnsi="Times New Roman" w:cs="Times New Roman"/>
          <w:sz w:val="24"/>
          <w:szCs w:val="24"/>
        </w:rPr>
        <w:t xml:space="preserve"> due to the practically </w:t>
      </w:r>
      <w:r w:rsidR="004F1EC4">
        <w:rPr>
          <w:rFonts w:ascii="Times New Roman" w:hAnsi="Times New Roman" w:cs="Times New Roman"/>
          <w:sz w:val="24"/>
          <w:szCs w:val="24"/>
        </w:rPr>
        <w:t xml:space="preserve">random </w:t>
      </w:r>
      <w:r>
        <w:rPr>
          <w:rFonts w:ascii="Times New Roman" w:hAnsi="Times New Roman" w:cs="Times New Roman"/>
          <w:sz w:val="24"/>
          <w:szCs w:val="24"/>
        </w:rPr>
        <w:t>appearance-based distribution.</w:t>
      </w:r>
      <w:r w:rsidR="006F6015">
        <w:rPr>
          <w:rFonts w:ascii="Times New Roman" w:hAnsi="Times New Roman" w:cs="Times New Roman"/>
          <w:sz w:val="24"/>
          <w:szCs w:val="24"/>
        </w:rPr>
        <w:t xml:space="preserve"> Although a vast decrease in domestic migration seems ubiquitous for the country, except for central and southern areas of the states of Arizona and Florida.</w:t>
      </w:r>
    </w:p>
    <w:p w14:paraId="1093B8EC" w14:textId="519A7931" w:rsidR="00343A9F" w:rsidRDefault="0015224D" w:rsidP="0037376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362035E" wp14:editId="3265A7E4">
            <wp:simplePos x="0" y="0"/>
            <wp:positionH relativeFrom="column">
              <wp:posOffset>0</wp:posOffset>
            </wp:positionH>
            <wp:positionV relativeFrom="paragraph">
              <wp:posOffset>0</wp:posOffset>
            </wp:positionV>
            <wp:extent cx="5943600" cy="3203575"/>
            <wp:effectExtent l="0" t="0" r="0" b="0"/>
            <wp:wrapTopAndBottom/>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anchor>
        </w:drawing>
      </w:r>
      <w:r w:rsidR="001111B4">
        <w:rPr>
          <w:rFonts w:ascii="Times New Roman" w:hAnsi="Times New Roman" w:cs="Times New Roman"/>
          <w:sz w:val="24"/>
          <w:szCs w:val="24"/>
        </w:rPr>
        <w:t xml:space="preserve">The concentration of </w:t>
      </w:r>
      <w:r w:rsidR="00B32C40">
        <w:rPr>
          <w:rFonts w:ascii="Times New Roman" w:hAnsi="Times New Roman" w:cs="Times New Roman"/>
          <w:sz w:val="24"/>
          <w:szCs w:val="24"/>
        </w:rPr>
        <w:t>lesser or greater change</w:t>
      </w:r>
      <w:r w:rsidR="001111B4">
        <w:rPr>
          <w:rFonts w:ascii="Times New Roman" w:hAnsi="Times New Roman" w:cs="Times New Roman"/>
          <w:sz w:val="24"/>
          <w:szCs w:val="24"/>
        </w:rPr>
        <w:t xml:space="preserve"> in the accounted quantity of international migrants seems strongest in the Midwestern to the leftward tail-end of the mid-Atlantic region.</w:t>
      </w:r>
      <w:r w:rsidR="006F6015">
        <w:rPr>
          <w:rFonts w:ascii="Times New Roman" w:hAnsi="Times New Roman" w:cs="Times New Roman"/>
          <w:sz w:val="24"/>
          <w:szCs w:val="24"/>
        </w:rPr>
        <w:t xml:space="preserve"> Although specific areas of notable increase for international migrancy is the center of the mainland and central Florida, whereas areas of notable decrease are too decentralized to pinpoint.</w:t>
      </w:r>
    </w:p>
    <w:p w14:paraId="61718679" w14:textId="5B40BB07" w:rsidR="00343A9F" w:rsidRDefault="00343A9F" w:rsidP="0037376A">
      <w:pPr>
        <w:rPr>
          <w:rFonts w:ascii="Times New Roman" w:hAnsi="Times New Roman" w:cs="Times New Roman"/>
          <w:sz w:val="24"/>
          <w:szCs w:val="24"/>
        </w:rPr>
      </w:pPr>
    </w:p>
    <w:p w14:paraId="5D53EB09" w14:textId="66B6A290" w:rsidR="00343A9F" w:rsidRDefault="00343A9F" w:rsidP="0037376A">
      <w:pPr>
        <w:rPr>
          <w:rFonts w:ascii="Times New Roman" w:hAnsi="Times New Roman" w:cs="Times New Roman"/>
          <w:b/>
          <w:bCs/>
          <w:sz w:val="24"/>
          <w:szCs w:val="24"/>
        </w:rPr>
      </w:pPr>
      <w:r w:rsidRPr="006F6015">
        <w:rPr>
          <w:rFonts w:ascii="Times New Roman" w:hAnsi="Times New Roman" w:cs="Times New Roman"/>
          <w:b/>
          <w:bCs/>
          <w:sz w:val="24"/>
          <w:szCs w:val="24"/>
        </w:rPr>
        <w:t xml:space="preserve">‘Speculation’ </w:t>
      </w:r>
      <w:r w:rsidR="000E798F">
        <w:rPr>
          <w:rFonts w:ascii="Times New Roman" w:hAnsi="Times New Roman" w:cs="Times New Roman"/>
          <w:b/>
          <w:bCs/>
          <w:sz w:val="24"/>
          <w:szCs w:val="24"/>
        </w:rPr>
        <w:t>S</w:t>
      </w:r>
      <w:r w:rsidRPr="006F6015">
        <w:rPr>
          <w:rFonts w:ascii="Times New Roman" w:hAnsi="Times New Roman" w:cs="Times New Roman"/>
          <w:b/>
          <w:bCs/>
          <w:sz w:val="24"/>
          <w:szCs w:val="24"/>
        </w:rPr>
        <w:t>imilarities</w:t>
      </w:r>
      <w:r w:rsidR="000E798F">
        <w:rPr>
          <w:rFonts w:ascii="Times New Roman" w:hAnsi="Times New Roman" w:cs="Times New Roman"/>
          <w:b/>
          <w:bCs/>
          <w:sz w:val="24"/>
          <w:szCs w:val="24"/>
        </w:rPr>
        <w:t xml:space="preserve"> and Differences</w:t>
      </w:r>
      <w:r w:rsidR="00BE7E8A" w:rsidRPr="006F6015">
        <w:rPr>
          <w:rFonts w:ascii="Times New Roman" w:hAnsi="Times New Roman" w:cs="Times New Roman"/>
          <w:b/>
          <w:bCs/>
          <w:sz w:val="24"/>
          <w:szCs w:val="24"/>
        </w:rPr>
        <w:t xml:space="preserve"> (lacking in IRS data)</w:t>
      </w:r>
    </w:p>
    <w:p w14:paraId="2C10A90F" w14:textId="087AEC1B" w:rsidR="00343A9F" w:rsidRDefault="006F6015" w:rsidP="0037376A">
      <w:pPr>
        <w:rPr>
          <w:rFonts w:ascii="Times New Roman" w:hAnsi="Times New Roman" w:cs="Times New Roman"/>
          <w:sz w:val="24"/>
          <w:szCs w:val="24"/>
        </w:rPr>
      </w:pPr>
      <w:r>
        <w:rPr>
          <w:rFonts w:ascii="Times New Roman" w:hAnsi="Times New Roman" w:cs="Times New Roman"/>
          <w:sz w:val="24"/>
          <w:szCs w:val="24"/>
        </w:rPr>
        <w:t>From 2019 until the following year, the coastal regions of the United States have been depicted showing little change in fertility, a slight but notable increase in mortality, a polarized, but unable to be summarized trend in domestic migration, and a theme of less international migration.</w:t>
      </w:r>
      <w:r w:rsidR="000E798F">
        <w:rPr>
          <w:rFonts w:ascii="Times New Roman" w:hAnsi="Times New Roman" w:cs="Times New Roman"/>
          <w:sz w:val="24"/>
          <w:szCs w:val="24"/>
        </w:rPr>
        <w:t xml:space="preserve"> In contrast, the inland regions experienced an improved state </w:t>
      </w:r>
      <w:r w:rsidR="00817014">
        <w:rPr>
          <w:rFonts w:ascii="Times New Roman" w:hAnsi="Times New Roman" w:cs="Times New Roman"/>
          <w:sz w:val="24"/>
          <w:szCs w:val="24"/>
        </w:rPr>
        <w:t xml:space="preserve">of </w:t>
      </w:r>
      <w:r w:rsidR="00222D15">
        <w:rPr>
          <w:rFonts w:ascii="Times New Roman" w:hAnsi="Times New Roman" w:cs="Times New Roman"/>
          <w:sz w:val="24"/>
          <w:szCs w:val="24"/>
        </w:rPr>
        <w:t>fertility</w:t>
      </w:r>
      <w:r w:rsidR="00817014">
        <w:rPr>
          <w:rFonts w:ascii="Times New Roman" w:hAnsi="Times New Roman" w:cs="Times New Roman"/>
          <w:sz w:val="24"/>
          <w:szCs w:val="24"/>
        </w:rPr>
        <w:t>, while also incurring the greatest detriments and benefits regarding</w:t>
      </w:r>
      <w:r w:rsidR="00222D15">
        <w:rPr>
          <w:rFonts w:ascii="Times New Roman" w:hAnsi="Times New Roman" w:cs="Times New Roman"/>
          <w:sz w:val="24"/>
          <w:szCs w:val="24"/>
        </w:rPr>
        <w:t xml:space="preserve"> mortality. However, both international and domestic migration notably declined in the landlocked states, except for midwestern ‘pores’ of increased international migrancy.</w:t>
      </w:r>
    </w:p>
    <w:p w14:paraId="6EC07FDA" w14:textId="69F5C94D" w:rsidR="004F5FD7" w:rsidRDefault="004F5FD7" w:rsidP="0037376A">
      <w:pPr>
        <w:rPr>
          <w:rFonts w:ascii="Times New Roman" w:hAnsi="Times New Roman" w:cs="Times New Roman"/>
          <w:sz w:val="24"/>
          <w:szCs w:val="24"/>
        </w:rPr>
      </w:pPr>
    </w:p>
    <w:p w14:paraId="15387999" w14:textId="11941774" w:rsidR="004F5FD7" w:rsidRDefault="004F5FD7" w:rsidP="0037376A">
      <w:pPr>
        <w:rPr>
          <w:rFonts w:ascii="Times New Roman" w:hAnsi="Times New Roman" w:cs="Times New Roman"/>
          <w:sz w:val="24"/>
          <w:szCs w:val="24"/>
        </w:rPr>
      </w:pPr>
      <w:r>
        <w:rPr>
          <w:rFonts w:ascii="Times New Roman" w:hAnsi="Times New Roman" w:cs="Times New Roman"/>
          <w:sz w:val="24"/>
          <w:szCs w:val="24"/>
        </w:rPr>
        <w:t>*Age? Employment? COVID Rates?*</w:t>
      </w:r>
    </w:p>
    <w:p w14:paraId="79547482" w14:textId="50891288" w:rsidR="004F5FD7" w:rsidRPr="000E798F" w:rsidRDefault="004F5FD7" w:rsidP="004F5FD7">
      <w:pPr>
        <w:rPr>
          <w:rFonts w:ascii="Times New Roman" w:hAnsi="Times New Roman" w:cs="Times New Roman"/>
          <w:sz w:val="24"/>
          <w:szCs w:val="24"/>
        </w:rPr>
      </w:pPr>
      <w:r>
        <w:rPr>
          <w:rFonts w:ascii="Times New Roman" w:hAnsi="Times New Roman" w:cs="Times New Roman"/>
          <w:sz w:val="24"/>
          <w:szCs w:val="24"/>
        </w:rPr>
        <w:t>“</w:t>
      </w:r>
      <w:r w:rsidRPr="004F5FD7">
        <w:rPr>
          <w:rFonts w:ascii="Times New Roman" w:hAnsi="Times New Roman" w:cs="Times New Roman"/>
          <w:sz w:val="24"/>
          <w:szCs w:val="24"/>
        </w:rPr>
        <w:t>In short, MSAs with relatively large numbers of older residents are clearly</w:t>
      </w:r>
      <w:r>
        <w:rPr>
          <w:rFonts w:ascii="Times New Roman" w:hAnsi="Times New Roman" w:cs="Times New Roman"/>
          <w:sz w:val="24"/>
          <w:szCs w:val="24"/>
        </w:rPr>
        <w:t xml:space="preserve"> </w:t>
      </w:r>
      <w:r w:rsidRPr="004F5FD7">
        <w:rPr>
          <w:rFonts w:ascii="Times New Roman" w:hAnsi="Times New Roman" w:cs="Times New Roman"/>
          <w:sz w:val="24"/>
          <w:szCs w:val="24"/>
        </w:rPr>
        <w:t>heterogeneous with respect to location, to the demographic and economic forces</w:t>
      </w:r>
      <w:r>
        <w:rPr>
          <w:rFonts w:ascii="Times New Roman" w:hAnsi="Times New Roman" w:cs="Times New Roman"/>
          <w:sz w:val="24"/>
          <w:szCs w:val="24"/>
        </w:rPr>
        <w:t xml:space="preserve"> </w:t>
      </w:r>
      <w:r w:rsidRPr="004F5FD7">
        <w:rPr>
          <w:rFonts w:ascii="Times New Roman" w:hAnsi="Times New Roman" w:cs="Times New Roman"/>
          <w:sz w:val="24"/>
          <w:szCs w:val="24"/>
        </w:rPr>
        <w:t>that brought about this type of age structure, and ultimately to their recorded rate</w:t>
      </w:r>
      <w:r>
        <w:rPr>
          <w:rFonts w:ascii="Times New Roman" w:hAnsi="Times New Roman" w:cs="Times New Roman"/>
          <w:sz w:val="24"/>
          <w:szCs w:val="24"/>
        </w:rPr>
        <w:t xml:space="preserve"> </w:t>
      </w:r>
      <w:r w:rsidRPr="004F5FD7">
        <w:rPr>
          <w:rFonts w:ascii="Times New Roman" w:hAnsi="Times New Roman" w:cs="Times New Roman"/>
          <w:sz w:val="24"/>
          <w:szCs w:val="24"/>
        </w:rPr>
        <w:t>of population growth during the most recent intercensal period</w:t>
      </w:r>
      <w:r>
        <w:rPr>
          <w:rFonts w:ascii="Times New Roman" w:hAnsi="Times New Roman" w:cs="Times New Roman"/>
          <w:sz w:val="24"/>
          <w:szCs w:val="24"/>
        </w:rPr>
        <w:t>.”</w:t>
      </w:r>
    </w:p>
    <w:p w14:paraId="5622EACC" w14:textId="3F5A91AF" w:rsidR="0015224D" w:rsidRPr="00531FFC" w:rsidRDefault="0015224D" w:rsidP="0037376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076A0790"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Lau, H., Khosrawipour, V., Kocbach, P., Mikolajczyk, A., Ichii, H., Zacharski, M., ... &amp; Khosrawipour, T. (2020). The association between international and domestic air traffic and the coronavirus (COVID-19) outbreak. Journal of Microbiology, Immunology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Li, A. Y., Hannah, T. C., Durbin, J., Dreher, N., McAuley, F. M., Marayati, N. F., ... &amp; Choudhri, T. F. (2020). Multivariate analysis of factors affecting COVID-19 case and death rate in US Counties: the significant effects of Black race and temperature. medRxiv.</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0E798F"/>
    <w:rsid w:val="00102CA1"/>
    <w:rsid w:val="001111B4"/>
    <w:rsid w:val="00113DA3"/>
    <w:rsid w:val="00114102"/>
    <w:rsid w:val="00121197"/>
    <w:rsid w:val="0012767C"/>
    <w:rsid w:val="001457ED"/>
    <w:rsid w:val="0015224D"/>
    <w:rsid w:val="00157DFC"/>
    <w:rsid w:val="00161CBC"/>
    <w:rsid w:val="0018035A"/>
    <w:rsid w:val="001E4C21"/>
    <w:rsid w:val="001E70A7"/>
    <w:rsid w:val="00203149"/>
    <w:rsid w:val="002051E2"/>
    <w:rsid w:val="00216CC1"/>
    <w:rsid w:val="00222D15"/>
    <w:rsid w:val="00222FD8"/>
    <w:rsid w:val="00234271"/>
    <w:rsid w:val="00235A1C"/>
    <w:rsid w:val="0025397E"/>
    <w:rsid w:val="00282DA2"/>
    <w:rsid w:val="00290E1E"/>
    <w:rsid w:val="002A7C6C"/>
    <w:rsid w:val="002D5A9A"/>
    <w:rsid w:val="002E78BE"/>
    <w:rsid w:val="0030163F"/>
    <w:rsid w:val="00304F39"/>
    <w:rsid w:val="00312FA2"/>
    <w:rsid w:val="00343A9F"/>
    <w:rsid w:val="00354073"/>
    <w:rsid w:val="0037376A"/>
    <w:rsid w:val="00375115"/>
    <w:rsid w:val="003824A8"/>
    <w:rsid w:val="003A106B"/>
    <w:rsid w:val="003E04C4"/>
    <w:rsid w:val="003E1664"/>
    <w:rsid w:val="003E1EB6"/>
    <w:rsid w:val="003E385A"/>
    <w:rsid w:val="00406436"/>
    <w:rsid w:val="004124ED"/>
    <w:rsid w:val="00413F08"/>
    <w:rsid w:val="00426BF4"/>
    <w:rsid w:val="00426DF3"/>
    <w:rsid w:val="00434064"/>
    <w:rsid w:val="00465AA8"/>
    <w:rsid w:val="00477C97"/>
    <w:rsid w:val="004908CE"/>
    <w:rsid w:val="004A0B60"/>
    <w:rsid w:val="004A2FE0"/>
    <w:rsid w:val="004B3859"/>
    <w:rsid w:val="004D2CD0"/>
    <w:rsid w:val="004F1EC4"/>
    <w:rsid w:val="004F5FD7"/>
    <w:rsid w:val="00524F48"/>
    <w:rsid w:val="00531FFC"/>
    <w:rsid w:val="00537C49"/>
    <w:rsid w:val="005513EC"/>
    <w:rsid w:val="00552C95"/>
    <w:rsid w:val="00567F83"/>
    <w:rsid w:val="00572FAA"/>
    <w:rsid w:val="00584537"/>
    <w:rsid w:val="005B33ED"/>
    <w:rsid w:val="005B3D1E"/>
    <w:rsid w:val="005C2B74"/>
    <w:rsid w:val="005E106F"/>
    <w:rsid w:val="005F3360"/>
    <w:rsid w:val="005F6677"/>
    <w:rsid w:val="00602E00"/>
    <w:rsid w:val="00602FF7"/>
    <w:rsid w:val="00615049"/>
    <w:rsid w:val="00623EE5"/>
    <w:rsid w:val="00655C4B"/>
    <w:rsid w:val="006625BB"/>
    <w:rsid w:val="006737C1"/>
    <w:rsid w:val="00680399"/>
    <w:rsid w:val="006845EE"/>
    <w:rsid w:val="00687C4E"/>
    <w:rsid w:val="006953BF"/>
    <w:rsid w:val="006E0AA4"/>
    <w:rsid w:val="006E485C"/>
    <w:rsid w:val="006F0EE2"/>
    <w:rsid w:val="006F6015"/>
    <w:rsid w:val="006F68FA"/>
    <w:rsid w:val="0070679B"/>
    <w:rsid w:val="0073633D"/>
    <w:rsid w:val="00737F3C"/>
    <w:rsid w:val="00760704"/>
    <w:rsid w:val="007668CD"/>
    <w:rsid w:val="00766A9B"/>
    <w:rsid w:val="007A4979"/>
    <w:rsid w:val="007A681A"/>
    <w:rsid w:val="007F11B1"/>
    <w:rsid w:val="00817014"/>
    <w:rsid w:val="0085499B"/>
    <w:rsid w:val="008A27F4"/>
    <w:rsid w:val="008A6C46"/>
    <w:rsid w:val="0090708C"/>
    <w:rsid w:val="00965678"/>
    <w:rsid w:val="00970758"/>
    <w:rsid w:val="00980D9C"/>
    <w:rsid w:val="009A6879"/>
    <w:rsid w:val="009A70D1"/>
    <w:rsid w:val="009A7B5C"/>
    <w:rsid w:val="009B4265"/>
    <w:rsid w:val="009B4F85"/>
    <w:rsid w:val="009C248D"/>
    <w:rsid w:val="009D6A0F"/>
    <w:rsid w:val="00A070F5"/>
    <w:rsid w:val="00A14FB1"/>
    <w:rsid w:val="00A72DAC"/>
    <w:rsid w:val="00A8163C"/>
    <w:rsid w:val="00AB3432"/>
    <w:rsid w:val="00AB6443"/>
    <w:rsid w:val="00AC545C"/>
    <w:rsid w:val="00AC6BA5"/>
    <w:rsid w:val="00AD0EEF"/>
    <w:rsid w:val="00B178F7"/>
    <w:rsid w:val="00B30BBB"/>
    <w:rsid w:val="00B32C40"/>
    <w:rsid w:val="00B41B6C"/>
    <w:rsid w:val="00B51D11"/>
    <w:rsid w:val="00B90238"/>
    <w:rsid w:val="00B934BC"/>
    <w:rsid w:val="00BA37DF"/>
    <w:rsid w:val="00BC7AC7"/>
    <w:rsid w:val="00BE7E8A"/>
    <w:rsid w:val="00C3239F"/>
    <w:rsid w:val="00C52633"/>
    <w:rsid w:val="00C6719B"/>
    <w:rsid w:val="00C86739"/>
    <w:rsid w:val="00CB2541"/>
    <w:rsid w:val="00CC1736"/>
    <w:rsid w:val="00CD2F71"/>
    <w:rsid w:val="00CE13F3"/>
    <w:rsid w:val="00D122F5"/>
    <w:rsid w:val="00D7205D"/>
    <w:rsid w:val="00D80529"/>
    <w:rsid w:val="00DA2C95"/>
    <w:rsid w:val="00DA5E6D"/>
    <w:rsid w:val="00DD4A6A"/>
    <w:rsid w:val="00DE0B27"/>
    <w:rsid w:val="00E02BCA"/>
    <w:rsid w:val="00E110FF"/>
    <w:rsid w:val="00E2681B"/>
    <w:rsid w:val="00E35769"/>
    <w:rsid w:val="00E57904"/>
    <w:rsid w:val="00E72EB0"/>
    <w:rsid w:val="00E8678B"/>
    <w:rsid w:val="00E9707C"/>
    <w:rsid w:val="00EA020B"/>
    <w:rsid w:val="00EB3EF4"/>
    <w:rsid w:val="00ED0807"/>
    <w:rsid w:val="00ED3906"/>
    <w:rsid w:val="00F101D7"/>
    <w:rsid w:val="00F10F53"/>
    <w:rsid w:val="00F240EB"/>
    <w:rsid w:val="00F3532A"/>
    <w:rsid w:val="00F4558A"/>
    <w:rsid w:val="00F6520F"/>
    <w:rsid w:val="00F808C4"/>
    <w:rsid w:val="00FA6428"/>
    <w:rsid w:val="00FB4CC2"/>
    <w:rsid w:val="00FC4284"/>
    <w:rsid w:val="00FE0492"/>
    <w:rsid w:val="00FE08F6"/>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13</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98</cp:revision>
  <dcterms:created xsi:type="dcterms:W3CDTF">2021-05-17T00:06:00Z</dcterms:created>
  <dcterms:modified xsi:type="dcterms:W3CDTF">2021-07-12T05:31:00Z</dcterms:modified>
</cp:coreProperties>
</file>