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 xml:space="preserve">Also, many countries reduced human contact “through limiting large gatherings, closing schools, or implementing total lockdowns” (Linka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in light of the SARS-CoV-2 pandemic. Despite the majority of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minority groups to work essential jobs that also require close proximity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1CB8312C" w14:textId="614333A8" w:rsidR="00B96C51" w:rsidRDefault="003E385A" w:rsidP="0037376A">
      <w:pPr>
        <w:rPr>
          <w:rFonts w:ascii="Times New Roman" w:hAnsi="Times New Roman" w:cs="Times New Roman"/>
          <w:sz w:val="16"/>
          <w:szCs w:val="16"/>
        </w:rPr>
      </w:pPr>
      <w:r>
        <w:rPr>
          <w:rFonts w:ascii="Times New Roman" w:hAnsi="Times New Roman" w:cs="Times New Roman"/>
          <w:sz w:val="16"/>
          <w:szCs w:val="16"/>
        </w:rPr>
        <w:t>(PAGE 11)</w:t>
      </w:r>
    </w:p>
    <w:p w14:paraId="6A21A997" w14:textId="49603358" w:rsidR="00B96C51" w:rsidRDefault="00B96C51" w:rsidP="0037376A">
      <w:pPr>
        <w:rPr>
          <w:rFonts w:ascii="Times New Roman" w:hAnsi="Times New Roman" w:cs="Times New Roman"/>
          <w:sz w:val="16"/>
          <w:szCs w:val="16"/>
        </w:rPr>
      </w:pPr>
      <w:r>
        <w:rPr>
          <w:rFonts w:ascii="Times New Roman" w:hAnsi="Times New Roman" w:cs="Times New Roman"/>
          <w:sz w:val="16"/>
          <w:szCs w:val="16"/>
        </w:rPr>
        <w:t>_____________________________________________________________________________________________________________________</w:t>
      </w:r>
    </w:p>
    <w:p w14:paraId="1DE733FD" w14:textId="75B1F3FD" w:rsidR="00B96C51" w:rsidRPr="00B96C51" w:rsidRDefault="00E864FA" w:rsidP="0037376A">
      <w:pPr>
        <w:rPr>
          <w:rFonts w:ascii="Times New Roman" w:hAnsi="Times New Roman" w:cs="Times New Roman"/>
          <w:sz w:val="16"/>
          <w:szCs w:val="16"/>
        </w:rPr>
      </w:pPr>
      <w:r>
        <w:rPr>
          <w:rFonts w:ascii="Times New Roman" w:hAnsi="Times New Roman" w:cs="Times New Roman"/>
          <w:noProof/>
          <w:sz w:val="16"/>
          <w:szCs w:val="16"/>
        </w:rPr>
        <w:lastRenderedPageBreak/>
        <w:drawing>
          <wp:anchor distT="0" distB="0" distL="114300" distR="114300" simplePos="0" relativeHeight="251662336" behindDoc="0" locked="0" layoutInCell="1" allowOverlap="1" wp14:anchorId="46EA3A8E" wp14:editId="57A4E25F">
            <wp:simplePos x="0" y="0"/>
            <wp:positionH relativeFrom="column">
              <wp:posOffset>0</wp:posOffset>
            </wp:positionH>
            <wp:positionV relativeFrom="paragraph">
              <wp:posOffset>0</wp:posOffset>
            </wp:positionV>
            <wp:extent cx="5943600" cy="3253740"/>
            <wp:effectExtent l="0" t="0" r="0" b="3810"/>
            <wp:wrapTopAndBottom/>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anchor>
        </w:drawing>
      </w:r>
    </w:p>
    <w:p w14:paraId="01203BA0" w14:textId="4D9CF9FA" w:rsidR="00B96C51" w:rsidRDefault="00E2681B" w:rsidP="0037376A">
      <w:pPr>
        <w:rPr>
          <w:rFonts w:ascii="Times New Roman" w:hAnsi="Times New Roman" w:cs="Times New Roman"/>
          <w:sz w:val="20"/>
          <w:szCs w:val="20"/>
        </w:rPr>
      </w:pPr>
      <w:r w:rsidRPr="00530FE7">
        <w:rPr>
          <w:rFonts w:ascii="Times New Roman" w:hAnsi="Times New Roman" w:cs="Times New Roman"/>
          <w:sz w:val="20"/>
          <w:szCs w:val="20"/>
        </w:rPr>
        <w:t xml:space="preserve">I must repeat the disclaimer that this depiction of fertility does not present the effect of the </w:t>
      </w:r>
      <w:r w:rsidR="004F1EC4" w:rsidRPr="00530FE7">
        <w:rPr>
          <w:rFonts w:ascii="Times New Roman" w:hAnsi="Times New Roman" w:cs="Times New Roman"/>
          <w:sz w:val="20"/>
          <w:szCs w:val="20"/>
        </w:rPr>
        <w:t>decline</w:t>
      </w:r>
      <w:r w:rsidRPr="00530FE7">
        <w:rPr>
          <w:rFonts w:ascii="Times New Roman" w:hAnsi="Times New Roman" w:cs="Times New Roman"/>
          <w:sz w:val="20"/>
          <w:szCs w:val="20"/>
        </w:rPr>
        <w:t xml:space="preserve"> in births experienced towards the end of 2020, </w:t>
      </w:r>
      <w:r w:rsidR="004F1EC4" w:rsidRPr="00530FE7">
        <w:rPr>
          <w:rFonts w:ascii="Times New Roman" w:hAnsi="Times New Roman" w:cs="Times New Roman"/>
          <w:sz w:val="20"/>
          <w:szCs w:val="20"/>
        </w:rPr>
        <w:t xml:space="preserve">which </w:t>
      </w:r>
      <w:r w:rsidRPr="00530FE7">
        <w:rPr>
          <w:rFonts w:ascii="Times New Roman" w:hAnsi="Times New Roman" w:cs="Times New Roman"/>
          <w:sz w:val="20"/>
          <w:szCs w:val="20"/>
        </w:rPr>
        <w:t>the Coronavirus</w:t>
      </w:r>
      <w:r w:rsidR="004F1EC4" w:rsidRPr="00530FE7">
        <w:rPr>
          <w:rFonts w:ascii="Times New Roman" w:hAnsi="Times New Roman" w:cs="Times New Roman"/>
          <w:sz w:val="20"/>
          <w:szCs w:val="20"/>
        </w:rPr>
        <w:t xml:space="preserve"> caused</w:t>
      </w:r>
      <w:r w:rsidRPr="00530FE7">
        <w:rPr>
          <w:rFonts w:ascii="Times New Roman" w:hAnsi="Times New Roman" w:cs="Times New Roman"/>
          <w:sz w:val="20"/>
          <w:szCs w:val="20"/>
        </w:rPr>
        <w:t xml:space="preserve">. </w:t>
      </w:r>
      <w:r w:rsidR="00343A9F" w:rsidRPr="00530FE7">
        <w:rPr>
          <w:rFonts w:ascii="Times New Roman" w:hAnsi="Times New Roman" w:cs="Times New Roman"/>
          <w:sz w:val="20"/>
          <w:szCs w:val="20"/>
        </w:rPr>
        <w:t>Drastic decreases or increases in fertility were rarely observed</w:t>
      </w:r>
      <w:r w:rsidRPr="00530FE7">
        <w:rPr>
          <w:rFonts w:ascii="Times New Roman" w:hAnsi="Times New Roman" w:cs="Times New Roman"/>
          <w:sz w:val="20"/>
          <w:szCs w:val="20"/>
        </w:rPr>
        <w:t xml:space="preserve"> if at all</w:t>
      </w:r>
      <w:r w:rsidR="00343A9F" w:rsidRPr="00530FE7">
        <w:rPr>
          <w:rFonts w:ascii="Times New Roman" w:hAnsi="Times New Roman" w:cs="Times New Roman"/>
          <w:sz w:val="20"/>
          <w:szCs w:val="20"/>
        </w:rPr>
        <w:t>.</w:t>
      </w:r>
      <w:r w:rsidRPr="00530FE7">
        <w:rPr>
          <w:rFonts w:ascii="Times New Roman" w:hAnsi="Times New Roman" w:cs="Times New Roman"/>
          <w:sz w:val="20"/>
          <w:szCs w:val="20"/>
        </w:rPr>
        <w:t xml:space="preserve"> The coastal regions are by-and-large </w:t>
      </w:r>
      <w:r w:rsidR="00CC2623">
        <w:rPr>
          <w:rFonts w:ascii="Times New Roman" w:hAnsi="Times New Roman" w:cs="Times New Roman"/>
          <w:sz w:val="20"/>
          <w:szCs w:val="20"/>
        </w:rPr>
        <w:t xml:space="preserve">represented with the </w:t>
      </w:r>
      <w:r w:rsidR="005B6A29">
        <w:rPr>
          <w:rFonts w:ascii="Times New Roman" w:hAnsi="Times New Roman" w:cs="Times New Roman"/>
          <w:sz w:val="20"/>
          <w:szCs w:val="20"/>
        </w:rPr>
        <w:t>lighter</w:t>
      </w:r>
      <w:r w:rsidR="00CC2623">
        <w:rPr>
          <w:rFonts w:ascii="Times New Roman" w:hAnsi="Times New Roman" w:cs="Times New Roman"/>
          <w:sz w:val="20"/>
          <w:szCs w:val="20"/>
        </w:rPr>
        <w:t xml:space="preserve"> shade of </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pink</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 xml:space="preserve">, </w:t>
      </w:r>
      <w:r w:rsidR="005B6A29">
        <w:rPr>
          <w:rFonts w:ascii="Times New Roman" w:hAnsi="Times New Roman" w:cs="Times New Roman"/>
          <w:sz w:val="20"/>
          <w:szCs w:val="20"/>
        </w:rPr>
        <w:t xml:space="preserve">indicating little change in fertility, </w:t>
      </w:r>
      <w:r w:rsidR="004F1EC4" w:rsidRPr="00530FE7">
        <w:rPr>
          <w:rFonts w:ascii="Times New Roman" w:hAnsi="Times New Roman" w:cs="Times New Roman"/>
          <w:sz w:val="20"/>
          <w:szCs w:val="20"/>
        </w:rPr>
        <w:t>whereas</w:t>
      </w:r>
      <w:r w:rsidRPr="00530FE7">
        <w:rPr>
          <w:rFonts w:ascii="Times New Roman" w:hAnsi="Times New Roman" w:cs="Times New Roman"/>
          <w:sz w:val="20"/>
          <w:szCs w:val="20"/>
        </w:rPr>
        <w:t xml:space="preserve"> </w:t>
      </w:r>
      <w:r w:rsidR="004F1EC4" w:rsidRPr="00530FE7">
        <w:rPr>
          <w:rFonts w:ascii="Times New Roman" w:hAnsi="Times New Roman" w:cs="Times New Roman"/>
          <w:sz w:val="20"/>
          <w:szCs w:val="20"/>
        </w:rPr>
        <w:t>t</w:t>
      </w:r>
      <w:r w:rsidRPr="00530FE7">
        <w:rPr>
          <w:rFonts w:ascii="Times New Roman" w:hAnsi="Times New Roman" w:cs="Times New Roman"/>
          <w:sz w:val="20"/>
          <w:szCs w:val="20"/>
        </w:rPr>
        <w:t xml:space="preserve">he </w:t>
      </w:r>
      <w:r w:rsidR="00CC2623">
        <w:rPr>
          <w:rFonts w:ascii="Times New Roman" w:hAnsi="Times New Roman" w:cs="Times New Roman"/>
          <w:sz w:val="20"/>
          <w:szCs w:val="20"/>
        </w:rPr>
        <w:t>lighter-</w:t>
      </w:r>
      <w:r w:rsidR="005B6A29">
        <w:rPr>
          <w:rFonts w:ascii="Times New Roman" w:hAnsi="Times New Roman" w:cs="Times New Roman"/>
          <w:sz w:val="20"/>
          <w:szCs w:val="20"/>
        </w:rPr>
        <w:t>green</w:t>
      </w:r>
      <w:r w:rsidRPr="00530FE7">
        <w:rPr>
          <w:rFonts w:ascii="Times New Roman" w:hAnsi="Times New Roman" w:cs="Times New Roman"/>
          <w:sz w:val="20"/>
          <w:szCs w:val="20"/>
        </w:rPr>
        <w:t xml:space="preserve"> distribution</w:t>
      </w:r>
      <w:r w:rsidR="00CC2623">
        <w:rPr>
          <w:rFonts w:ascii="Times New Roman" w:hAnsi="Times New Roman" w:cs="Times New Roman"/>
          <w:sz w:val="20"/>
          <w:szCs w:val="20"/>
        </w:rPr>
        <w:t xml:space="preserve"> that entails fertility growth</w:t>
      </w:r>
      <w:r w:rsidRPr="00530FE7">
        <w:rPr>
          <w:rFonts w:ascii="Times New Roman" w:hAnsi="Times New Roman" w:cs="Times New Roman"/>
          <w:sz w:val="20"/>
          <w:szCs w:val="20"/>
        </w:rPr>
        <w:t xml:space="preserve"> appears to be concentrated</w:t>
      </w:r>
      <w:r w:rsidR="00CC2623">
        <w:rPr>
          <w:rFonts w:ascii="Times New Roman" w:hAnsi="Times New Roman" w:cs="Times New Roman"/>
          <w:sz w:val="20"/>
          <w:szCs w:val="20"/>
        </w:rPr>
        <w:t xml:space="preserve"> by-and-large</w:t>
      </w:r>
      <w:r w:rsidRPr="00530FE7">
        <w:rPr>
          <w:rFonts w:ascii="Times New Roman" w:hAnsi="Times New Roman" w:cs="Times New Roman"/>
          <w:sz w:val="20"/>
          <w:szCs w:val="20"/>
        </w:rPr>
        <w:t xml:space="preserve"> in the </w:t>
      </w:r>
      <w:r w:rsidR="00CC2623">
        <w:rPr>
          <w:rFonts w:ascii="Times New Roman" w:hAnsi="Times New Roman" w:cs="Times New Roman"/>
          <w:sz w:val="20"/>
          <w:szCs w:val="20"/>
        </w:rPr>
        <w:t xml:space="preserve">Midwest and </w:t>
      </w:r>
      <w:r w:rsidR="004F1EC4" w:rsidRPr="00530FE7">
        <w:rPr>
          <w:rFonts w:ascii="Times New Roman" w:hAnsi="Times New Roman" w:cs="Times New Roman"/>
          <w:sz w:val="20"/>
          <w:szCs w:val="20"/>
        </w:rPr>
        <w:t>states that comprise the Rocky Mountains</w:t>
      </w:r>
      <w:r w:rsidR="005B6A29">
        <w:rPr>
          <w:rFonts w:ascii="Times New Roman" w:hAnsi="Times New Roman" w:cs="Times New Roman"/>
          <w:sz w:val="20"/>
          <w:szCs w:val="20"/>
        </w:rPr>
        <w:t xml:space="preserve"> (which may be due to larger counties by land mass)</w:t>
      </w:r>
      <w:r w:rsidRPr="00530FE7">
        <w:rPr>
          <w:rFonts w:ascii="Times New Roman" w:hAnsi="Times New Roman" w:cs="Times New Roman"/>
          <w:sz w:val="20"/>
          <w:szCs w:val="20"/>
        </w:rPr>
        <w:t xml:space="preserve">. </w:t>
      </w:r>
    </w:p>
    <w:p w14:paraId="59D4C4AF" w14:textId="77777777" w:rsidR="00F006C4" w:rsidRDefault="00F006C4" w:rsidP="0037376A">
      <w:pPr>
        <w:rPr>
          <w:rFonts w:ascii="Times New Roman" w:hAnsi="Times New Roman" w:cs="Times New Roman"/>
          <w:sz w:val="20"/>
          <w:szCs w:val="20"/>
        </w:rPr>
      </w:pPr>
    </w:p>
    <w:p w14:paraId="76A4F32B" w14:textId="07F3D77F" w:rsidR="00B96C51" w:rsidRPr="00530FE7" w:rsidRDefault="00C51CAA" w:rsidP="0037376A">
      <w:pPr>
        <w:rPr>
          <w:rFonts w:ascii="Times New Roman" w:hAnsi="Times New Roman" w:cs="Times New Roman"/>
          <w:sz w:val="20"/>
          <w:szCs w:val="20"/>
        </w:rPr>
      </w:pPr>
      <w:r w:rsidRPr="00C51CAA">
        <w:rPr>
          <w:rFonts w:ascii="Times New Roman" w:hAnsi="Times New Roman" w:cs="Times New Roman"/>
          <w:sz w:val="20"/>
          <w:szCs w:val="20"/>
        </w:rPr>
        <w:lastRenderedPageBreak/>
        <w:t xml:space="preserve">Zones of spotty improvements in mortality seem clustered within the inland western and mid-western regions. Although the effect of increased mortality can be observed in the states that comprise the Rocky Mountains and the Midwest, lower mortality rates seem practically exclusive to the </w:t>
      </w:r>
      <w:r w:rsidR="00F006C4">
        <w:rPr>
          <w:rFonts w:ascii="Times New Roman" w:hAnsi="Times New Roman" w:cs="Times New Roman"/>
          <w:sz w:val="20"/>
          <w:szCs w:val="20"/>
        </w:rPr>
        <w:t>direct center longitudinal line of the country (i.e., Texas, New Mexico, Nebraska, South Dakota, and North Dakota).</w:t>
      </w:r>
      <w:r w:rsidRPr="00C51CAA">
        <w:rPr>
          <w:rFonts w:ascii="Times New Roman" w:hAnsi="Times New Roman" w:cs="Times New Roman"/>
          <w:sz w:val="20"/>
          <w:szCs w:val="20"/>
        </w:rPr>
        <w:t xml:space="preserve"> To be more precise, the populated coastal borders </w:t>
      </w:r>
      <w:r w:rsidR="00B96C51">
        <w:rPr>
          <w:rFonts w:ascii="Times New Roman" w:hAnsi="Times New Roman" w:cs="Times New Roman"/>
          <w:noProof/>
          <w:sz w:val="20"/>
          <w:szCs w:val="20"/>
        </w:rPr>
        <w:drawing>
          <wp:anchor distT="0" distB="0" distL="114300" distR="114300" simplePos="0" relativeHeight="251659264" behindDoc="0" locked="0" layoutInCell="1" allowOverlap="1" wp14:anchorId="637B6BCB" wp14:editId="40745232">
            <wp:simplePos x="0" y="0"/>
            <wp:positionH relativeFrom="column">
              <wp:posOffset>0</wp:posOffset>
            </wp:positionH>
            <wp:positionV relativeFrom="paragraph">
              <wp:posOffset>2540</wp:posOffset>
            </wp:positionV>
            <wp:extent cx="5943600" cy="3355340"/>
            <wp:effectExtent l="0" t="0" r="0" b="0"/>
            <wp:wrapTopAndBottom/>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anchor>
        </w:drawing>
      </w:r>
      <w:r w:rsidR="00F006C4">
        <w:rPr>
          <w:rFonts w:ascii="Times New Roman" w:hAnsi="Times New Roman" w:cs="Times New Roman"/>
          <w:sz w:val="20"/>
          <w:szCs w:val="20"/>
        </w:rPr>
        <w:t xml:space="preserve"> saw a moderate increase in deaths from the years 2019 to 2020.</w:t>
      </w:r>
    </w:p>
    <w:p w14:paraId="35143CF3" w14:textId="77777777" w:rsidR="00E72D03" w:rsidRDefault="00E72D03" w:rsidP="0037376A">
      <w:pPr>
        <w:rPr>
          <w:rFonts w:ascii="Times New Roman" w:hAnsi="Times New Roman" w:cs="Times New Roman"/>
          <w:sz w:val="20"/>
          <w:szCs w:val="20"/>
        </w:rPr>
      </w:pPr>
    </w:p>
    <w:p w14:paraId="234A31CE" w14:textId="2A6EDE49" w:rsidR="00B96C51" w:rsidRPr="00530FE7" w:rsidRDefault="00B96C51" w:rsidP="0037376A">
      <w:pPr>
        <w:rPr>
          <w:rFonts w:ascii="Times New Roman" w:hAnsi="Times New Roman" w:cs="Times New Roman"/>
          <w:sz w:val="20"/>
          <w:szCs w:val="20"/>
        </w:rPr>
      </w:pPr>
      <w:r w:rsidRPr="00E72D03">
        <w:rPr>
          <w:rFonts w:ascii="Times New Roman" w:hAnsi="Times New Roman" w:cs="Times New Roman"/>
          <w:noProof/>
          <w:sz w:val="20"/>
          <w:szCs w:val="20"/>
          <w:highlight w:val="yellow"/>
        </w:rPr>
        <w:drawing>
          <wp:anchor distT="0" distB="0" distL="114300" distR="114300" simplePos="0" relativeHeight="251660288" behindDoc="0" locked="0" layoutInCell="1" allowOverlap="1" wp14:anchorId="6966CB2A" wp14:editId="69F038A8">
            <wp:simplePos x="0" y="0"/>
            <wp:positionH relativeFrom="column">
              <wp:posOffset>0</wp:posOffset>
            </wp:positionH>
            <wp:positionV relativeFrom="paragraph">
              <wp:posOffset>-3175</wp:posOffset>
            </wp:positionV>
            <wp:extent cx="5943600" cy="3330575"/>
            <wp:effectExtent l="0" t="0" r="0" b="3175"/>
            <wp:wrapTopAndBottom/>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anchor>
        </w:drawing>
      </w:r>
      <w:r w:rsidR="00E72D03" w:rsidRPr="00E72D03">
        <w:rPr>
          <w:rFonts w:ascii="Times New Roman" w:hAnsi="Times New Roman" w:cs="Times New Roman"/>
          <w:sz w:val="20"/>
          <w:szCs w:val="20"/>
          <w:highlight w:val="yellow"/>
        </w:rPr>
        <w:t>*NOT ENOUGH CONCLUSIVE DATA TO STATE THAT PEOPLE WERE FLEEING CITIES FOR AREAS</w:t>
      </w:r>
      <w:r w:rsidR="007650A9">
        <w:rPr>
          <w:rFonts w:ascii="Times New Roman" w:hAnsi="Times New Roman" w:cs="Times New Roman"/>
          <w:sz w:val="20"/>
          <w:szCs w:val="20"/>
          <w:highlight w:val="yellow"/>
        </w:rPr>
        <w:t xml:space="preserve"> OF AMENITIES</w:t>
      </w:r>
      <w:r w:rsidR="00E72D03" w:rsidRPr="00E72D03">
        <w:rPr>
          <w:rFonts w:ascii="Times New Roman" w:hAnsi="Times New Roman" w:cs="Times New Roman"/>
          <w:sz w:val="20"/>
          <w:szCs w:val="20"/>
          <w:highlight w:val="yellow"/>
        </w:rPr>
        <w:t>*</w:t>
      </w:r>
      <w:r w:rsidR="00E72D03">
        <w:rPr>
          <w:rFonts w:ascii="Times New Roman" w:hAnsi="Times New Roman" w:cs="Times New Roman"/>
          <w:sz w:val="20"/>
          <w:szCs w:val="20"/>
        </w:rPr>
        <w:t xml:space="preserve"> </w:t>
      </w:r>
      <w:r w:rsidR="00E72D03" w:rsidRPr="004121DC">
        <w:rPr>
          <w:rFonts w:ascii="Times New Roman" w:hAnsi="Times New Roman" w:cs="Times New Roman"/>
          <w:sz w:val="20"/>
          <w:szCs w:val="20"/>
          <w:highlight w:val="yellow"/>
        </w:rPr>
        <w:t xml:space="preserve">SPATIAL AUTO CORRELATION </w:t>
      </w:r>
      <w:r w:rsidR="004121DC" w:rsidRPr="004121DC">
        <w:rPr>
          <w:rFonts w:ascii="Times New Roman" w:hAnsi="Times New Roman" w:cs="Times New Roman"/>
          <w:sz w:val="20"/>
          <w:szCs w:val="20"/>
          <w:highlight w:val="yellow"/>
        </w:rPr>
        <w:t>–</w:t>
      </w:r>
      <w:r w:rsidR="00E72D03" w:rsidRPr="004121DC">
        <w:rPr>
          <w:rFonts w:ascii="Times New Roman" w:hAnsi="Times New Roman" w:cs="Times New Roman"/>
          <w:sz w:val="20"/>
          <w:szCs w:val="20"/>
          <w:highlight w:val="yellow"/>
        </w:rPr>
        <w:t xml:space="preserve"> CLUSTERING</w:t>
      </w:r>
      <w:r w:rsidR="004121DC" w:rsidRPr="004121DC">
        <w:rPr>
          <w:rFonts w:ascii="Times New Roman" w:hAnsi="Times New Roman" w:cs="Times New Roman"/>
          <w:sz w:val="20"/>
          <w:szCs w:val="20"/>
          <w:highlight w:val="yellow"/>
        </w:rPr>
        <w:t xml:space="preserve"> – MORAN’S I</w:t>
      </w:r>
    </w:p>
    <w:p w14:paraId="7EC117B6" w14:textId="6C289B0B" w:rsidR="00BC1EBC" w:rsidRDefault="00965678" w:rsidP="0037376A">
      <w:pPr>
        <w:rPr>
          <w:rFonts w:ascii="Times New Roman" w:hAnsi="Times New Roman" w:cs="Times New Roman"/>
          <w:sz w:val="20"/>
          <w:szCs w:val="20"/>
        </w:rPr>
      </w:pPr>
      <w:r w:rsidRPr="00530FE7">
        <w:rPr>
          <w:rFonts w:ascii="Times New Roman" w:hAnsi="Times New Roman" w:cs="Times New Roman"/>
          <w:sz w:val="20"/>
          <w:szCs w:val="20"/>
        </w:rPr>
        <w:lastRenderedPageBreak/>
        <w:t>The trends of concentrated gain or loss of domestic migrants seems unable to</w:t>
      </w:r>
      <w:r w:rsidR="00FE08F6" w:rsidRPr="00530FE7">
        <w:rPr>
          <w:rFonts w:ascii="Times New Roman" w:hAnsi="Times New Roman" w:cs="Times New Roman"/>
          <w:sz w:val="20"/>
          <w:szCs w:val="20"/>
        </w:rPr>
        <w:t xml:space="preserve"> be</w:t>
      </w:r>
      <w:r w:rsidRPr="00530FE7">
        <w:rPr>
          <w:rFonts w:ascii="Times New Roman" w:hAnsi="Times New Roman" w:cs="Times New Roman"/>
          <w:sz w:val="20"/>
          <w:szCs w:val="20"/>
        </w:rPr>
        <w:t xml:space="preserve"> infer</w:t>
      </w:r>
      <w:r w:rsidR="00FE08F6" w:rsidRPr="00530FE7">
        <w:rPr>
          <w:rFonts w:ascii="Times New Roman" w:hAnsi="Times New Roman" w:cs="Times New Roman"/>
          <w:sz w:val="20"/>
          <w:szCs w:val="20"/>
        </w:rPr>
        <w:t>red</w:t>
      </w:r>
      <w:r w:rsidRPr="00530FE7">
        <w:rPr>
          <w:rFonts w:ascii="Times New Roman" w:hAnsi="Times New Roman" w:cs="Times New Roman"/>
          <w:sz w:val="20"/>
          <w:szCs w:val="20"/>
        </w:rPr>
        <w:t xml:space="preserve"> due to the practically </w:t>
      </w:r>
      <w:r w:rsidR="004F1EC4" w:rsidRPr="00530FE7">
        <w:rPr>
          <w:rFonts w:ascii="Times New Roman" w:hAnsi="Times New Roman" w:cs="Times New Roman"/>
          <w:sz w:val="20"/>
          <w:szCs w:val="20"/>
        </w:rPr>
        <w:t xml:space="preserve">random </w:t>
      </w:r>
      <w:r w:rsidRPr="00530FE7">
        <w:rPr>
          <w:rFonts w:ascii="Times New Roman" w:hAnsi="Times New Roman" w:cs="Times New Roman"/>
          <w:sz w:val="20"/>
          <w:szCs w:val="20"/>
        </w:rPr>
        <w:t>appearance-based distribution.</w:t>
      </w:r>
      <w:r w:rsidR="006F6015" w:rsidRPr="00530FE7">
        <w:rPr>
          <w:rFonts w:ascii="Times New Roman" w:hAnsi="Times New Roman" w:cs="Times New Roman"/>
          <w:sz w:val="20"/>
          <w:szCs w:val="20"/>
        </w:rPr>
        <w:t xml:space="preserve"> Although a vast decrease in domestic migration seems ubiquitous for the country,</w:t>
      </w:r>
      <w:r w:rsidR="00B557F4">
        <w:rPr>
          <w:rFonts w:ascii="Times New Roman" w:hAnsi="Times New Roman" w:cs="Times New Roman"/>
          <w:sz w:val="20"/>
          <w:szCs w:val="20"/>
        </w:rPr>
        <w:t xml:space="preserve"> there seems to be an equal apportionment of great increase contrasted with great decrease of domestic migrants per each state</w:t>
      </w:r>
      <w:r w:rsidR="006F6015" w:rsidRPr="00530FE7">
        <w:rPr>
          <w:rFonts w:ascii="Times New Roman" w:hAnsi="Times New Roman" w:cs="Times New Roman"/>
          <w:sz w:val="20"/>
          <w:szCs w:val="20"/>
        </w:rPr>
        <w:t>.</w:t>
      </w:r>
    </w:p>
    <w:p w14:paraId="4D2D0451" w14:textId="77C03DFC" w:rsidR="00B96C51" w:rsidRPr="00530FE7" w:rsidRDefault="00B96C51" w:rsidP="0037376A">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516F19F" wp14:editId="396AEA1E">
            <wp:simplePos x="0" y="0"/>
            <wp:positionH relativeFrom="column">
              <wp:posOffset>0</wp:posOffset>
            </wp:positionH>
            <wp:positionV relativeFrom="paragraph">
              <wp:posOffset>-4445</wp:posOffset>
            </wp:positionV>
            <wp:extent cx="5943600" cy="3274695"/>
            <wp:effectExtent l="0" t="0" r="0" b="1905"/>
            <wp:wrapTopAndBottom/>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anchor>
        </w:drawing>
      </w:r>
    </w:p>
    <w:p w14:paraId="024A4316" w14:textId="592331FC" w:rsidR="006516EA" w:rsidRDefault="006516EA" w:rsidP="0037376A">
      <w:pPr>
        <w:rPr>
          <w:rFonts w:ascii="Times New Roman" w:hAnsi="Times New Roman" w:cs="Times New Roman"/>
          <w:sz w:val="20"/>
          <w:szCs w:val="20"/>
        </w:rPr>
      </w:pPr>
      <w:r>
        <w:rPr>
          <w:rFonts w:ascii="Times New Roman" w:hAnsi="Times New Roman" w:cs="Times New Roman"/>
          <w:sz w:val="20"/>
          <w:szCs w:val="20"/>
        </w:rPr>
        <w:t xml:space="preserve">Most U.S. counties experienced a slight increase or a stagnant rate of international migrancy from 2019 to 2020. In fact, counties that experienced a substantial decrease in international migration were increasingly decentralized and few-and-far-between. States within the northeastern and southwestern regions experienced minimal change while almost all other regions experienced a notable increase. However, this </w:t>
      </w:r>
      <w:r w:rsidR="002C1754">
        <w:rPr>
          <w:rFonts w:ascii="Times New Roman" w:hAnsi="Times New Roman" w:cs="Times New Roman"/>
          <w:sz w:val="20"/>
          <w:szCs w:val="20"/>
        </w:rPr>
        <w:t>map</w:t>
      </w:r>
      <w:r>
        <w:rPr>
          <w:rFonts w:ascii="Times New Roman" w:hAnsi="Times New Roman" w:cs="Times New Roman"/>
          <w:sz w:val="20"/>
          <w:szCs w:val="20"/>
        </w:rPr>
        <w:t xml:space="preserve"> possesses the most ‘N/A’ counties since some counties’ reports of international migration were incomplete or inaccurate.</w:t>
      </w:r>
    </w:p>
    <w:p w14:paraId="70899707" w14:textId="05D9112A" w:rsidR="00387462" w:rsidRPr="00530FE7" w:rsidRDefault="00387462" w:rsidP="0037376A">
      <w:pPr>
        <w:rPr>
          <w:rFonts w:ascii="Times New Roman" w:hAnsi="Times New Roman" w:cs="Times New Roman"/>
          <w:sz w:val="20"/>
          <w:szCs w:val="20"/>
        </w:rPr>
      </w:pPr>
      <w:r w:rsidRPr="00387462">
        <w:rPr>
          <w:rFonts w:ascii="Times New Roman" w:hAnsi="Times New Roman" w:cs="Times New Roman"/>
          <w:sz w:val="20"/>
          <w:szCs w:val="20"/>
          <w:highlight w:val="yellow"/>
        </w:rPr>
        <w:t xml:space="preserve">Green means more international migrants </w:t>
      </w:r>
      <w:r w:rsidR="00B96951">
        <w:rPr>
          <w:rFonts w:ascii="Times New Roman" w:hAnsi="Times New Roman" w:cs="Times New Roman"/>
          <w:sz w:val="20"/>
          <w:szCs w:val="20"/>
          <w:highlight w:val="yellow"/>
        </w:rPr>
        <w:t>moving into</w:t>
      </w:r>
      <w:r w:rsidRPr="00387462">
        <w:rPr>
          <w:rFonts w:ascii="Times New Roman" w:hAnsi="Times New Roman" w:cs="Times New Roman"/>
          <w:sz w:val="20"/>
          <w:szCs w:val="20"/>
          <w:highlight w:val="yellow"/>
        </w:rPr>
        <w:t xml:space="preserve"> America?</w:t>
      </w:r>
    </w:p>
    <w:p w14:paraId="61718679" w14:textId="5B40BB07" w:rsidR="00343A9F" w:rsidRPr="00530FE7" w:rsidRDefault="00343A9F" w:rsidP="0037376A">
      <w:pPr>
        <w:rPr>
          <w:rFonts w:ascii="Times New Roman" w:hAnsi="Times New Roman" w:cs="Times New Roman"/>
          <w:sz w:val="20"/>
          <w:szCs w:val="20"/>
        </w:rPr>
      </w:pPr>
    </w:p>
    <w:p w14:paraId="5D53EB09" w14:textId="66B6A290" w:rsidR="00343A9F" w:rsidRPr="00530FE7" w:rsidRDefault="00343A9F" w:rsidP="0037376A">
      <w:pPr>
        <w:rPr>
          <w:rFonts w:ascii="Times New Roman" w:hAnsi="Times New Roman" w:cs="Times New Roman"/>
          <w:b/>
          <w:bCs/>
          <w:sz w:val="20"/>
          <w:szCs w:val="20"/>
        </w:rPr>
      </w:pPr>
      <w:r w:rsidRPr="00530FE7">
        <w:rPr>
          <w:rFonts w:ascii="Times New Roman" w:hAnsi="Times New Roman" w:cs="Times New Roman"/>
          <w:b/>
          <w:bCs/>
          <w:sz w:val="20"/>
          <w:szCs w:val="20"/>
        </w:rPr>
        <w:t xml:space="preserve">‘Speculation’ </w:t>
      </w:r>
      <w:r w:rsidR="000E798F" w:rsidRPr="00530FE7">
        <w:rPr>
          <w:rFonts w:ascii="Times New Roman" w:hAnsi="Times New Roman" w:cs="Times New Roman"/>
          <w:b/>
          <w:bCs/>
          <w:sz w:val="20"/>
          <w:szCs w:val="20"/>
        </w:rPr>
        <w:t>S</w:t>
      </w:r>
      <w:r w:rsidRPr="00530FE7">
        <w:rPr>
          <w:rFonts w:ascii="Times New Roman" w:hAnsi="Times New Roman" w:cs="Times New Roman"/>
          <w:b/>
          <w:bCs/>
          <w:sz w:val="20"/>
          <w:szCs w:val="20"/>
        </w:rPr>
        <w:t>imilarities</w:t>
      </w:r>
      <w:r w:rsidR="000E798F" w:rsidRPr="00530FE7">
        <w:rPr>
          <w:rFonts w:ascii="Times New Roman" w:hAnsi="Times New Roman" w:cs="Times New Roman"/>
          <w:b/>
          <w:bCs/>
          <w:sz w:val="20"/>
          <w:szCs w:val="20"/>
        </w:rPr>
        <w:t xml:space="preserve"> and Differences</w:t>
      </w:r>
      <w:r w:rsidR="00BE7E8A" w:rsidRPr="00530FE7">
        <w:rPr>
          <w:rFonts w:ascii="Times New Roman" w:hAnsi="Times New Roman" w:cs="Times New Roman"/>
          <w:b/>
          <w:bCs/>
          <w:sz w:val="20"/>
          <w:szCs w:val="20"/>
        </w:rPr>
        <w:t xml:space="preserve"> (lacking in IRS data)</w:t>
      </w:r>
    </w:p>
    <w:p w14:paraId="2C10A90F" w14:textId="0ECF9B25" w:rsidR="00343A9F" w:rsidRDefault="006F6015" w:rsidP="0037376A">
      <w:pPr>
        <w:rPr>
          <w:rFonts w:ascii="Times New Roman" w:hAnsi="Times New Roman" w:cs="Times New Roman"/>
          <w:sz w:val="20"/>
          <w:szCs w:val="20"/>
        </w:rPr>
      </w:pPr>
      <w:r w:rsidRPr="00BE28F3">
        <w:rPr>
          <w:rFonts w:ascii="Times New Roman" w:hAnsi="Times New Roman" w:cs="Times New Roman"/>
          <w:sz w:val="20"/>
          <w:szCs w:val="20"/>
          <w:highlight w:val="yellow"/>
        </w:rPr>
        <w:t xml:space="preserve">From 2019 until the following year, the coastal regions of the United States have been depicted showing </w:t>
      </w:r>
      <w:r w:rsidR="00BE28F3" w:rsidRPr="00BE28F3">
        <w:rPr>
          <w:rFonts w:ascii="Times New Roman" w:hAnsi="Times New Roman" w:cs="Times New Roman"/>
          <w:sz w:val="20"/>
          <w:szCs w:val="20"/>
          <w:highlight w:val="yellow"/>
        </w:rPr>
        <w:t>a slightly negative</w:t>
      </w:r>
      <w:r w:rsidRPr="00BE28F3">
        <w:rPr>
          <w:rFonts w:ascii="Times New Roman" w:hAnsi="Times New Roman" w:cs="Times New Roman"/>
          <w:sz w:val="20"/>
          <w:szCs w:val="20"/>
          <w:highlight w:val="yellow"/>
        </w:rPr>
        <w:t xml:space="preserve"> change in fertility, a slight but notable increase in mortality, a polarized, but unable to be summarized trend in domestic migration, and a theme of less international migration.</w:t>
      </w:r>
      <w:r w:rsidR="000E798F" w:rsidRPr="00BE28F3">
        <w:rPr>
          <w:rFonts w:ascii="Times New Roman" w:hAnsi="Times New Roman" w:cs="Times New Roman"/>
          <w:sz w:val="20"/>
          <w:szCs w:val="20"/>
          <w:highlight w:val="yellow"/>
        </w:rPr>
        <w:t xml:space="preserve"> In contrast, the inland regions experienced an improved state </w:t>
      </w:r>
      <w:r w:rsidR="00817014" w:rsidRPr="00BE28F3">
        <w:rPr>
          <w:rFonts w:ascii="Times New Roman" w:hAnsi="Times New Roman" w:cs="Times New Roman"/>
          <w:sz w:val="20"/>
          <w:szCs w:val="20"/>
          <w:highlight w:val="yellow"/>
        </w:rPr>
        <w:t xml:space="preserve">of </w:t>
      </w:r>
      <w:r w:rsidR="00222D15" w:rsidRPr="00BE28F3">
        <w:rPr>
          <w:rFonts w:ascii="Times New Roman" w:hAnsi="Times New Roman" w:cs="Times New Roman"/>
          <w:sz w:val="20"/>
          <w:szCs w:val="20"/>
          <w:highlight w:val="yellow"/>
        </w:rPr>
        <w:t>fertility</w:t>
      </w:r>
      <w:r w:rsidR="00817014" w:rsidRPr="00BE28F3">
        <w:rPr>
          <w:rFonts w:ascii="Times New Roman" w:hAnsi="Times New Roman" w:cs="Times New Roman"/>
          <w:sz w:val="20"/>
          <w:szCs w:val="20"/>
          <w:highlight w:val="yellow"/>
        </w:rPr>
        <w:t>, while also incurring the greatest detriments and benefits regarding</w:t>
      </w:r>
      <w:r w:rsidR="00222D15" w:rsidRPr="00BE28F3">
        <w:rPr>
          <w:rFonts w:ascii="Times New Roman" w:hAnsi="Times New Roman" w:cs="Times New Roman"/>
          <w:sz w:val="20"/>
          <w:szCs w:val="20"/>
          <w:highlight w:val="yellow"/>
        </w:rPr>
        <w:t xml:space="preserve"> mortality. However, both international and domestic migration notably declined in the landlocked states, except for midwestern ‘pores’ of increased international migrancy.</w:t>
      </w:r>
    </w:p>
    <w:p w14:paraId="4D7F9602" w14:textId="74892575" w:rsidR="001001B3" w:rsidRDefault="001001B3" w:rsidP="0037376A">
      <w:pPr>
        <w:rPr>
          <w:rFonts w:ascii="Times New Roman" w:hAnsi="Times New Roman" w:cs="Times New Roman"/>
          <w:sz w:val="20"/>
          <w:szCs w:val="20"/>
        </w:rPr>
      </w:pPr>
      <w:r>
        <w:rPr>
          <w:rFonts w:ascii="Times New Roman" w:hAnsi="Times New Roman" w:cs="Times New Roman"/>
          <w:sz w:val="20"/>
          <w:szCs w:val="20"/>
        </w:rPr>
        <w:t>…</w:t>
      </w:r>
    </w:p>
    <w:p w14:paraId="18DCDAE9" w14:textId="6BA2586A" w:rsidR="001001B3"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“Florida could lose more than 2.5 million residents due to 1.8 m of SLR, while Texas could see nearly 1.5 million additional residents (Fig. 2). Additionally, nine states could see net losses in their populations due to SLR.”</w:t>
      </w:r>
      <w:r>
        <w:rPr>
          <w:rFonts w:ascii="Times New Roman" w:hAnsi="Times New Roman" w:cs="Times New Roman"/>
          <w:sz w:val="20"/>
          <w:szCs w:val="20"/>
        </w:rPr>
        <w:t xml:space="preserve"> – Disagrees with map?</w:t>
      </w:r>
    </w:p>
    <w:p w14:paraId="4E26D2B1" w14:textId="147CB244" w:rsidR="001001B3" w:rsidRPr="00530FE7"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 xml:space="preserve">“For many destinations, such as Riverside California, Phoenix Arizona, Las Vegas Nevada, and Atlanta Georgia, already experiencing water management and growth management challenges, the SLR migrants who wash across </w:t>
      </w:r>
      <w:r w:rsidRPr="001001B3">
        <w:rPr>
          <w:rFonts w:ascii="Times New Roman" w:hAnsi="Times New Roman" w:cs="Times New Roman"/>
          <w:sz w:val="20"/>
          <w:szCs w:val="20"/>
          <w:highlight w:val="yellow"/>
        </w:rPr>
        <w:lastRenderedPageBreak/>
        <w:t>the landscape over the coming century could place undue burden in these places if accommodation strategies are left unplanned. Studies of migration impacts do not solve the challenges in these areas, but rather reveal a more holistic understanding of SLR impacts and needed interventions.”</w:t>
      </w:r>
      <w:r>
        <w:rPr>
          <w:rFonts w:ascii="Times New Roman" w:hAnsi="Times New Roman" w:cs="Times New Roman"/>
          <w:sz w:val="20"/>
          <w:szCs w:val="20"/>
        </w:rPr>
        <w:t xml:space="preserve"> – Disagrees with map?</w:t>
      </w:r>
    </w:p>
    <w:p w14:paraId="6EC07FDA" w14:textId="69F5C94D" w:rsidR="004F5FD7" w:rsidRPr="00530FE7" w:rsidRDefault="004F5FD7" w:rsidP="0037376A">
      <w:pPr>
        <w:rPr>
          <w:rFonts w:ascii="Times New Roman" w:hAnsi="Times New Roman" w:cs="Times New Roman"/>
          <w:sz w:val="20"/>
          <w:szCs w:val="20"/>
        </w:rPr>
      </w:pPr>
    </w:p>
    <w:p w14:paraId="15387999" w14:textId="11941774" w:rsidR="004F5FD7" w:rsidRPr="00530FE7" w:rsidRDefault="004F5FD7" w:rsidP="0037376A">
      <w:pPr>
        <w:rPr>
          <w:rFonts w:ascii="Times New Roman" w:hAnsi="Times New Roman" w:cs="Times New Roman"/>
          <w:sz w:val="20"/>
          <w:szCs w:val="20"/>
        </w:rPr>
      </w:pPr>
      <w:r w:rsidRPr="00530FE7">
        <w:rPr>
          <w:rFonts w:ascii="Times New Roman" w:hAnsi="Times New Roman" w:cs="Times New Roman"/>
          <w:sz w:val="20"/>
          <w:szCs w:val="20"/>
        </w:rPr>
        <w:t>*Age? Employment? COVID Rates?*</w:t>
      </w:r>
    </w:p>
    <w:p w14:paraId="79547482" w14:textId="11BF05F8" w:rsidR="004F5FD7" w:rsidRPr="00530FE7" w:rsidRDefault="004F5FD7" w:rsidP="004F5FD7">
      <w:pPr>
        <w:rPr>
          <w:rFonts w:ascii="Times New Roman" w:hAnsi="Times New Roman" w:cs="Times New Roman"/>
          <w:sz w:val="20"/>
          <w:szCs w:val="20"/>
        </w:rPr>
      </w:pPr>
      <w:r w:rsidRPr="00530FE7">
        <w:rPr>
          <w:rFonts w:ascii="Times New Roman" w:hAnsi="Times New Roman" w:cs="Times New Roman"/>
          <w:sz w:val="20"/>
          <w:szCs w:val="20"/>
        </w:rPr>
        <w:t>“In short, MSAs with relatively large numbers of older residents are clearly heterogeneous with respect to location, to the demographic and economic forces that brought about this type of age structure, and ultimately to their recorded rate of population growth during the most recent intercensal period.”</w:t>
      </w:r>
      <w:r w:rsidR="00A21DD4">
        <w:rPr>
          <w:rFonts w:ascii="Times New Roman" w:hAnsi="Times New Roman" w:cs="Times New Roman"/>
          <w:sz w:val="20"/>
          <w:szCs w:val="20"/>
        </w:rPr>
        <w:t xml:space="preserve"> (Serow &amp; O’Cain, p. 224)</w:t>
      </w:r>
    </w:p>
    <w:p w14:paraId="5622EACC" w14:textId="3F5A91AF" w:rsidR="0015224D" w:rsidRPr="00531FFC" w:rsidRDefault="0015224D" w:rsidP="0037376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076A0790"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Lau, H., Khosrawipour, V., Kocbach, P., Mikolajczyk, A., Ichii, H., Zacharski, M., ... &amp; Khosrawipour, T. (2020). The association between international and domestic air traffic and the coronavirus (COVID-19) outbreak. Journal of Microbiology, Immunology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Li, A. Y., Hannah, T. C., Durbin, J., Dreher, N., McAuley, F. M., Marayati, N. F., ... &amp; Choudhri, T. F. (2020). Multivariate analysis of factors affecting COVID-19 case and death rate in US Counties: the significant effects of Black race and temperature. medRxiv.</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A0C77"/>
    <w:rsid w:val="000D083E"/>
    <w:rsid w:val="000E798F"/>
    <w:rsid w:val="001001B3"/>
    <w:rsid w:val="00102CA1"/>
    <w:rsid w:val="001111B4"/>
    <w:rsid w:val="00113DA3"/>
    <w:rsid w:val="00114102"/>
    <w:rsid w:val="00121197"/>
    <w:rsid w:val="0012767C"/>
    <w:rsid w:val="001457ED"/>
    <w:rsid w:val="0015224D"/>
    <w:rsid w:val="00157DFC"/>
    <w:rsid w:val="00161CBC"/>
    <w:rsid w:val="0018035A"/>
    <w:rsid w:val="001E4C21"/>
    <w:rsid w:val="001E70A7"/>
    <w:rsid w:val="00203149"/>
    <w:rsid w:val="002051E2"/>
    <w:rsid w:val="00216CC1"/>
    <w:rsid w:val="00222D15"/>
    <w:rsid w:val="00222FD8"/>
    <w:rsid w:val="00234271"/>
    <w:rsid w:val="00235A1C"/>
    <w:rsid w:val="0025397E"/>
    <w:rsid w:val="00282DA2"/>
    <w:rsid w:val="00290E1E"/>
    <w:rsid w:val="002A7C6C"/>
    <w:rsid w:val="002C1754"/>
    <w:rsid w:val="002D5A9A"/>
    <w:rsid w:val="002E78BE"/>
    <w:rsid w:val="0030163F"/>
    <w:rsid w:val="00304F39"/>
    <w:rsid w:val="00312FA2"/>
    <w:rsid w:val="00343A9F"/>
    <w:rsid w:val="00354073"/>
    <w:rsid w:val="0037376A"/>
    <w:rsid w:val="00375115"/>
    <w:rsid w:val="003824A8"/>
    <w:rsid w:val="00387462"/>
    <w:rsid w:val="003A106B"/>
    <w:rsid w:val="003E04C4"/>
    <w:rsid w:val="003E1664"/>
    <w:rsid w:val="003E1EB6"/>
    <w:rsid w:val="003E385A"/>
    <w:rsid w:val="00406436"/>
    <w:rsid w:val="004121DC"/>
    <w:rsid w:val="004124ED"/>
    <w:rsid w:val="00413F08"/>
    <w:rsid w:val="00426BF4"/>
    <w:rsid w:val="00426DF3"/>
    <w:rsid w:val="00434064"/>
    <w:rsid w:val="00465AA8"/>
    <w:rsid w:val="00477C97"/>
    <w:rsid w:val="004908CE"/>
    <w:rsid w:val="004A0B60"/>
    <w:rsid w:val="004A2FE0"/>
    <w:rsid w:val="004B3859"/>
    <w:rsid w:val="004D2CD0"/>
    <w:rsid w:val="004F1EC4"/>
    <w:rsid w:val="004F5FD7"/>
    <w:rsid w:val="00524F48"/>
    <w:rsid w:val="00530FE7"/>
    <w:rsid w:val="00531FFC"/>
    <w:rsid w:val="00537C49"/>
    <w:rsid w:val="005513EC"/>
    <w:rsid w:val="00552C95"/>
    <w:rsid w:val="00567F83"/>
    <w:rsid w:val="00572FAA"/>
    <w:rsid w:val="00584537"/>
    <w:rsid w:val="005B33ED"/>
    <w:rsid w:val="005B3D1E"/>
    <w:rsid w:val="005B6A29"/>
    <w:rsid w:val="005C2B74"/>
    <w:rsid w:val="005E106F"/>
    <w:rsid w:val="005F3360"/>
    <w:rsid w:val="005F6677"/>
    <w:rsid w:val="00602E00"/>
    <w:rsid w:val="00602FF7"/>
    <w:rsid w:val="00615049"/>
    <w:rsid w:val="00623EE5"/>
    <w:rsid w:val="006516EA"/>
    <w:rsid w:val="00655C4B"/>
    <w:rsid w:val="006625BB"/>
    <w:rsid w:val="006737C1"/>
    <w:rsid w:val="00680399"/>
    <w:rsid w:val="006845EE"/>
    <w:rsid w:val="00687C4E"/>
    <w:rsid w:val="006953BF"/>
    <w:rsid w:val="006E0AA4"/>
    <w:rsid w:val="006E485C"/>
    <w:rsid w:val="006F0EE2"/>
    <w:rsid w:val="006F6015"/>
    <w:rsid w:val="006F68FA"/>
    <w:rsid w:val="0070679B"/>
    <w:rsid w:val="0073633D"/>
    <w:rsid w:val="00737F3C"/>
    <w:rsid w:val="00760704"/>
    <w:rsid w:val="007650A9"/>
    <w:rsid w:val="007668CD"/>
    <w:rsid w:val="00766A9B"/>
    <w:rsid w:val="007A4979"/>
    <w:rsid w:val="007A681A"/>
    <w:rsid w:val="007F11B1"/>
    <w:rsid w:val="00817014"/>
    <w:rsid w:val="0085499B"/>
    <w:rsid w:val="008A27F4"/>
    <w:rsid w:val="008A6C46"/>
    <w:rsid w:val="0090708C"/>
    <w:rsid w:val="00965678"/>
    <w:rsid w:val="00970758"/>
    <w:rsid w:val="00980D9C"/>
    <w:rsid w:val="009A6879"/>
    <w:rsid w:val="009A70D1"/>
    <w:rsid w:val="009A7B5C"/>
    <w:rsid w:val="009B4265"/>
    <w:rsid w:val="009B4F85"/>
    <w:rsid w:val="009C248D"/>
    <w:rsid w:val="009D6A0F"/>
    <w:rsid w:val="00A070F5"/>
    <w:rsid w:val="00A14FB1"/>
    <w:rsid w:val="00A21DD4"/>
    <w:rsid w:val="00A72DAC"/>
    <w:rsid w:val="00A8163C"/>
    <w:rsid w:val="00AB3432"/>
    <w:rsid w:val="00AB6443"/>
    <w:rsid w:val="00AC545C"/>
    <w:rsid w:val="00AC6BA5"/>
    <w:rsid w:val="00AD0EEF"/>
    <w:rsid w:val="00B178F7"/>
    <w:rsid w:val="00B30BBB"/>
    <w:rsid w:val="00B32C40"/>
    <w:rsid w:val="00B41B6C"/>
    <w:rsid w:val="00B51D11"/>
    <w:rsid w:val="00B557F4"/>
    <w:rsid w:val="00B90238"/>
    <w:rsid w:val="00B934BC"/>
    <w:rsid w:val="00B96951"/>
    <w:rsid w:val="00B96C51"/>
    <w:rsid w:val="00BA37DF"/>
    <w:rsid w:val="00BC1EBC"/>
    <w:rsid w:val="00BC7AC7"/>
    <w:rsid w:val="00BE28F3"/>
    <w:rsid w:val="00BE7E8A"/>
    <w:rsid w:val="00C3239F"/>
    <w:rsid w:val="00C51CAA"/>
    <w:rsid w:val="00C52633"/>
    <w:rsid w:val="00C6719B"/>
    <w:rsid w:val="00C86739"/>
    <w:rsid w:val="00CB2541"/>
    <w:rsid w:val="00CC1736"/>
    <w:rsid w:val="00CC2623"/>
    <w:rsid w:val="00CD2F71"/>
    <w:rsid w:val="00CE13F3"/>
    <w:rsid w:val="00D122F5"/>
    <w:rsid w:val="00D7205D"/>
    <w:rsid w:val="00D80529"/>
    <w:rsid w:val="00DA2C95"/>
    <w:rsid w:val="00DA5E6D"/>
    <w:rsid w:val="00DD4A6A"/>
    <w:rsid w:val="00DE0B27"/>
    <w:rsid w:val="00E02BCA"/>
    <w:rsid w:val="00E110FF"/>
    <w:rsid w:val="00E2681B"/>
    <w:rsid w:val="00E35769"/>
    <w:rsid w:val="00E57904"/>
    <w:rsid w:val="00E72D03"/>
    <w:rsid w:val="00E72EB0"/>
    <w:rsid w:val="00E864FA"/>
    <w:rsid w:val="00E8678B"/>
    <w:rsid w:val="00E9707C"/>
    <w:rsid w:val="00EA020B"/>
    <w:rsid w:val="00EB3EF4"/>
    <w:rsid w:val="00ED0807"/>
    <w:rsid w:val="00ED3906"/>
    <w:rsid w:val="00F006C4"/>
    <w:rsid w:val="00F101D7"/>
    <w:rsid w:val="00F10F53"/>
    <w:rsid w:val="00F240EB"/>
    <w:rsid w:val="00F3532A"/>
    <w:rsid w:val="00F4558A"/>
    <w:rsid w:val="00F6520F"/>
    <w:rsid w:val="00F808C4"/>
    <w:rsid w:val="00FA6428"/>
    <w:rsid w:val="00FB4CC2"/>
    <w:rsid w:val="00FC4284"/>
    <w:rsid w:val="00FE0492"/>
    <w:rsid w:val="00FE08F6"/>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TotalTime>
  <Pages>13</Pages>
  <Words>5074</Words>
  <Characters>28926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115</cp:revision>
  <dcterms:created xsi:type="dcterms:W3CDTF">2021-05-17T00:06:00Z</dcterms:created>
  <dcterms:modified xsi:type="dcterms:W3CDTF">2021-08-06T06:37:00Z</dcterms:modified>
</cp:coreProperties>
</file>