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xml:space="preserve">, </w:t>
            </w:r>
            <w:proofErr w:type="spellStart"/>
            <w:r w:rsidR="00CA67B4">
              <w:t>Kourosh</w:t>
            </w:r>
            <w:proofErr w:type="spellEnd"/>
            <w:r w:rsidR="00CA67B4">
              <w:t xml:space="preserve"> Karimi</w:t>
            </w:r>
            <w:r w:rsidR="00574D9A">
              <w:t xml:space="preserve">, Fatemeh </w:t>
            </w:r>
            <w:proofErr w:type="spellStart"/>
            <w:r w:rsidR="00574D9A">
              <w:t>Javaherat</w:t>
            </w:r>
            <w:proofErr w:type="spellEnd"/>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748A3A53" w14:textId="60CE432F" w:rsidR="003B36B8" w:rsidRDefault="00F67BF9" w:rsidP="001266D7">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09AB8F57" w14:textId="77777777" w:rsidR="001266D7" w:rsidRPr="001266D7" w:rsidRDefault="001266D7" w:rsidP="001266D7">
      <w:r w:rsidRPr="001266D7">
        <w:t>This report presents the design and implementation of a Vision-Based Lane Departure Warning (VBLDW) system using classical computer vision techniques. The primary objective of the project was to develop a lightweight and interpretable lane detection framework capable of identifying lane boundaries and warning drivers when unintended lane departure occurs under both highway and urban driving conditions.</w:t>
      </w:r>
    </w:p>
    <w:p w14:paraId="15A6BD46" w14:textId="77777777" w:rsidR="001266D7" w:rsidRPr="001266D7" w:rsidRDefault="001266D7" w:rsidP="001266D7">
      <w:r w:rsidRPr="001266D7">
        <w:t>The proposed system processes video frames through a sequence of image processing stages, including grayscale conversion, Gaussian filtering, Canny edge detection, Region of Interest (ROI) masking, Hough Transform, and lane line selection. Unlike modern deep learning approaches, the implemented method does not rely on neural networks or extensive computational resources, making it suitable for low-cost and real-time embedded applications.</w:t>
      </w:r>
    </w:p>
    <w:p w14:paraId="38B7D08A" w14:textId="77777777" w:rsidR="001266D7" w:rsidRPr="001266D7" w:rsidRDefault="001266D7" w:rsidP="001266D7">
      <w:r w:rsidRPr="001266D7">
        <w:t>To evaluate the robustness of the pipeline, multiple driving scenarios were considered, including clear highway environments, tunnel conditions, dashed lane markings, and challenging urban scenes with shadows and faded lanes. In addition, several noise models, including Gaussian, Salt-and-Pepper, and Speckle noise, were introduced to simulate real-world sensor imperfections and environmental disturbances. Ground truth annotations were manually generated using MATLAB Ground Truth Labeler to support frame-by-frame evaluation.</w:t>
      </w:r>
    </w:p>
    <w:p w14:paraId="7EC81B1E" w14:textId="77777777" w:rsidR="001266D7" w:rsidRPr="001266D7" w:rsidRDefault="001266D7" w:rsidP="001266D7">
      <w:r w:rsidRPr="001266D7">
        <w:t>The warning mechanism was implemented using the Lateral Offset Ratio (LOR), a calibration-free metric that estimates the vehicle’s lateral position relative to lane boundaries. Based on the calculated LOR values, the system classifies the driving condition into safe driving, warning threshold, or lane departure states. Experimental results demonstrated that the proposed workflow successfully detects lane boundaries and identifies lane departure events while providing visual warnings to the driver.</w:t>
      </w:r>
    </w:p>
    <w:p w14:paraId="2E79F159" w14:textId="50F6E51A" w:rsidR="001266D7" w:rsidRDefault="001266D7" w:rsidP="001266D7">
      <w:r w:rsidRPr="001266D7">
        <w:t>Overall, the project demonstrates that traditional computer vision methods remain effective for lane departure warning applications, particularly in scenarios where computational efficiency, simplicity, and explainability are important design considerations.</w:t>
      </w:r>
    </w:p>
    <w:p w14:paraId="21CDC28C" w14:textId="77777777" w:rsidR="001266D7" w:rsidRPr="000B04DD" w:rsidRDefault="001266D7" w:rsidP="001266D7">
      <w:pPr>
        <w:rPr>
          <w:rStyle w:val="Strong"/>
          <w:b w:val="0"/>
          <w:bCs w:val="0"/>
        </w:rPr>
      </w:pPr>
    </w:p>
    <w:p w14:paraId="460E931F" w14:textId="630D907C" w:rsidR="00F67BF9" w:rsidRPr="000E39BB" w:rsidRDefault="00F67BF9" w:rsidP="00736621">
      <w:pPr>
        <w:pStyle w:val="TL11"/>
        <w:rPr>
          <w:rStyle w:val="Strong"/>
        </w:rPr>
      </w:pPr>
      <w:r>
        <w:rPr>
          <w:rStyle w:val="Strong"/>
          <w:b/>
          <w:bCs/>
        </w:rPr>
        <w:lastRenderedPageBreak/>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r w:rsidR="00E46B62">
        <w:fldChar w:fldCharType="begin"/>
      </w:r>
      <w:r w:rsidR="00E46B62">
        <w:instrText xml:space="preserve"> SEQ Figure_2 \* ARABIC </w:instrText>
      </w:r>
      <w:r w:rsidR="00E46B62">
        <w:fldChar w:fldCharType="separate"/>
      </w:r>
      <w:r w:rsidR="0004668E">
        <w:rPr>
          <w:noProof/>
        </w:rPr>
        <w:t>1</w:t>
      </w:r>
      <w:r w:rsidR="00E46B62">
        <w:rPr>
          <w:noProof/>
        </w:rPr>
        <w:fldChar w:fldCharType="end"/>
      </w:r>
      <w:r>
        <w:t>. Data Pipeline Relevant Tasks</w:t>
      </w:r>
    </w:p>
    <w:p w14:paraId="057776A4" w14:textId="2314DE1E" w:rsidR="00E624BF" w:rsidRDefault="003C2A4B" w:rsidP="003D0CC3">
      <w:pPr>
        <w:pStyle w:val="TL12"/>
      </w:pPr>
      <w:r>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1A44F8E0"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End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880CD4">
            <w:rPr>
              <w:noProof/>
              <w:lang w:bidi="fa-IR"/>
            </w:rPr>
            <w:t xml:space="preserve"> </w:t>
          </w:r>
          <w:r w:rsidR="00880CD4" w:rsidRPr="00880CD4">
            <w:rPr>
              <w:noProof/>
              <w:lang w:bidi="fa-IR"/>
            </w:rPr>
            <w:t>[1]</w:t>
          </w:r>
          <w:r w:rsidR="006D1554">
            <w:rPr>
              <w:lang w:bidi="fa-IR"/>
            </w:rPr>
            <w:fldChar w:fldCharType="end"/>
          </w:r>
        </w:sdtContent>
      </w:sdt>
      <w:sdt>
        <w:sdtPr>
          <w:rPr>
            <w:lang w:bidi="fa-IR"/>
          </w:rPr>
          <w:id w:val="1614712867"/>
          <w:citation/>
        </w:sdtPr>
        <w:sdtEnd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880CD4">
            <w:rPr>
              <w:noProof/>
              <w:lang w:bidi="fa-IR"/>
            </w:rPr>
            <w:t xml:space="preserve"> </w:t>
          </w:r>
          <w:r w:rsidR="00880CD4" w:rsidRPr="00880CD4">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0FC9FB72"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w:t>
      </w:r>
      <w:proofErr w:type="spellStart"/>
      <w:r w:rsidR="002F2C74" w:rsidRPr="00773410">
        <w:rPr>
          <w:lang w:bidi="fa-IR"/>
        </w:rPr>
        <w:t>Jiqing</w:t>
      </w:r>
      <w:proofErr w:type="spellEnd"/>
      <w:r w:rsidR="002F2C74" w:rsidRPr="00773410">
        <w:rPr>
          <w:lang w:bidi="fa-IR"/>
        </w:rPr>
        <w:t xml:space="preserve">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w:t>
      </w:r>
      <w:r w:rsidR="002F2C74" w:rsidRPr="00562E99">
        <w:rPr>
          <w:lang w:bidi="fa-IR"/>
        </w:rPr>
        <w:lastRenderedPageBreak/>
        <w:t>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End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880CD4">
            <w:rPr>
              <w:noProof/>
              <w:lang w:bidi="fa-IR"/>
            </w:rPr>
            <w:t xml:space="preserve"> </w:t>
          </w:r>
          <w:r w:rsidR="00880CD4" w:rsidRPr="00880CD4">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6BCCB564">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r w:rsidR="00E46B62">
        <w:fldChar w:fldCharType="begin"/>
      </w:r>
      <w:r w:rsidR="00E46B62">
        <w:instrText xml:space="preserve"> SEQ Figure_2 \* ARABIC </w:instrText>
      </w:r>
      <w:r w:rsidR="00E46B62">
        <w:fldChar w:fldCharType="separate"/>
      </w:r>
      <w:r w:rsidR="0004668E">
        <w:rPr>
          <w:noProof/>
        </w:rPr>
        <w:t>2</w:t>
      </w:r>
      <w:r w:rsidR="00E46B62">
        <w:rPr>
          <w:noProof/>
        </w:rPr>
        <w:fldChar w:fldCharType="end"/>
      </w:r>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drawing>
          <wp:inline distT="0" distB="0" distL="0" distR="0" wp14:anchorId="0A49B394" wp14:editId="3CF05A80">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r w:rsidR="00E46B62">
        <w:fldChar w:fldCharType="begin"/>
      </w:r>
      <w:r w:rsidR="00E46B62">
        <w:instrText xml:space="preserve"> SEQ Figure_2 \* ARABIC </w:instrText>
      </w:r>
      <w:r w:rsidR="00E46B62">
        <w:fldChar w:fldCharType="separate"/>
      </w:r>
      <w:r w:rsidR="0004668E">
        <w:rPr>
          <w:noProof/>
        </w:rPr>
        <w:t>3</w:t>
      </w:r>
      <w:r w:rsidR="00E46B62">
        <w:rPr>
          <w:noProof/>
        </w:rPr>
        <w:fldChar w:fldCharType="end"/>
      </w:r>
      <w:r>
        <w:t xml:space="preserve">. Dashed Right Line Test </w:t>
      </w:r>
      <w:proofErr w:type="spellStart"/>
      <w:r>
        <w:t>Scanrio</w:t>
      </w:r>
      <w:proofErr w:type="spellEnd"/>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lastRenderedPageBreak/>
        <w:drawing>
          <wp:inline distT="0" distB="0" distL="0" distR="0" wp14:anchorId="756DE5DB" wp14:editId="1C607EE2">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r w:rsidR="00E46B62">
        <w:fldChar w:fldCharType="begin"/>
      </w:r>
      <w:r w:rsidR="00E46B62">
        <w:instrText xml:space="preserve"> SEQ Figure_2 \* ARABIC </w:instrText>
      </w:r>
      <w:r w:rsidR="00E46B62">
        <w:fldChar w:fldCharType="separate"/>
      </w:r>
      <w:r w:rsidR="0004668E">
        <w:rPr>
          <w:noProof/>
        </w:rPr>
        <w:t>4</w:t>
      </w:r>
      <w:r w:rsidR="00E46B62">
        <w:rPr>
          <w:noProof/>
        </w:rPr>
        <w:fldChar w:fldCharType="end"/>
      </w:r>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drawing>
          <wp:inline distT="0" distB="0" distL="0" distR="0" wp14:anchorId="03D28818" wp14:editId="1A8FDEBB">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r w:rsidR="00E46B62">
        <w:fldChar w:fldCharType="begin"/>
      </w:r>
      <w:r w:rsidR="00E46B62">
        <w:instrText xml:space="preserve"> SEQ Figure_2 \* ARABIC </w:instrText>
      </w:r>
      <w:r w:rsidR="00E46B62">
        <w:fldChar w:fldCharType="separate"/>
      </w:r>
      <w:r w:rsidR="0004668E">
        <w:rPr>
          <w:noProof/>
        </w:rPr>
        <w:t>5</w:t>
      </w:r>
      <w:r w:rsidR="00E46B62">
        <w:rPr>
          <w:noProof/>
        </w:rPr>
        <w:fldChar w:fldCharType="end"/>
      </w:r>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w:t>
      </w:r>
      <w:r w:rsidR="009D0E42">
        <w:lastRenderedPageBreak/>
        <w:t>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r w:rsidR="00E46B62">
        <w:fldChar w:fldCharType="begin"/>
      </w:r>
      <w:r w:rsidR="00E46B62">
        <w:instrText xml:space="preserve"> SEQ Figure_2 \* ARABIC </w:instrText>
      </w:r>
      <w:r w:rsidR="00E46B62">
        <w:fldChar w:fldCharType="separate"/>
      </w:r>
      <w:r w:rsidR="0004668E">
        <w:rPr>
          <w:noProof/>
        </w:rPr>
        <w:t>6</w:t>
      </w:r>
      <w:r w:rsidR="00E46B62">
        <w:rPr>
          <w:noProof/>
        </w:rPr>
        <w:fldChar w:fldCharType="end"/>
      </w:r>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lastRenderedPageBreak/>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r w:rsidR="00E46B62">
        <w:fldChar w:fldCharType="begin"/>
      </w:r>
      <w:r w:rsidR="00E46B62">
        <w:instrText xml:space="preserve"> SEQ Figure_2 \* ARABIC </w:instrText>
      </w:r>
      <w:r w:rsidR="00E46B62">
        <w:fldChar w:fldCharType="separate"/>
      </w:r>
      <w:r w:rsidR="0004668E">
        <w:rPr>
          <w:noProof/>
        </w:rPr>
        <w:t>7</w:t>
      </w:r>
      <w:r w:rsidR="00E46B62">
        <w:rPr>
          <w:noProof/>
        </w:rPr>
        <w:fldChar w:fldCharType="end"/>
      </w:r>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r w:rsidR="00E46B62">
        <w:fldChar w:fldCharType="begin"/>
      </w:r>
      <w:r w:rsidR="00E46B62">
        <w:instrText xml:space="preserve"> SEQ Figure_2 \* ARABIC </w:instrText>
      </w:r>
      <w:r w:rsidR="00E46B62">
        <w:fldChar w:fldCharType="separate"/>
      </w:r>
      <w:r w:rsidR="0004668E">
        <w:rPr>
          <w:noProof/>
        </w:rPr>
        <w:t>8</w:t>
      </w:r>
      <w:r w:rsidR="00E46B62">
        <w:rPr>
          <w:noProof/>
        </w:rPr>
        <w:fldChar w:fldCharType="end"/>
      </w:r>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 xml:space="preserve">There are several data structures for composing ground truth data. While JSON is a great universal format, using MATLAB's built-in labeling tool seems better for this project requirements. The native supported object notation is </w:t>
      </w:r>
      <w:proofErr w:type="gramStart"/>
      <w:r w:rsidRPr="00B41B73">
        <w:t>the</w:t>
      </w:r>
      <w:r w:rsidR="00832D65">
        <w:t xml:space="preserve"> </w:t>
      </w:r>
      <w:r w:rsidRPr="007D3F40">
        <w:rPr>
          <w:i/>
          <w:iCs/>
        </w:rPr>
        <w:t>.mat</w:t>
      </w:r>
      <w:proofErr w:type="gramEnd"/>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 xml:space="preserve">These frames are loaded into the MATLAB Ground Truth Labeler application, where a human annotator draws polyline </w:t>
      </w:r>
      <w:r w:rsidR="00044EA8" w:rsidRPr="00044EA8">
        <w:lastRenderedPageBreak/>
        <w:t>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31C98213">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r w:rsidR="00E46B62">
        <w:fldChar w:fldCharType="begin"/>
      </w:r>
      <w:r w:rsidR="00E46B62">
        <w:instrText xml:space="preserve"> SEQ Figure_2 \* ARABIC </w:instrText>
      </w:r>
      <w:r w:rsidR="00E46B62">
        <w:fldChar w:fldCharType="separate"/>
      </w:r>
      <w:r>
        <w:rPr>
          <w:noProof/>
        </w:rPr>
        <w:t>9</w:t>
      </w:r>
      <w:r w:rsidR="00E46B62">
        <w:rPr>
          <w:noProof/>
        </w:rPr>
        <w:fldChar w:fldCharType="end"/>
      </w:r>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47B16A4C"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r w:rsidR="00E46B62">
        <w:fldChar w:fldCharType="begin"/>
      </w:r>
      <w:r w:rsidR="00E46B62">
        <w:instrText xml:space="preserve"> SEQ Fi</w:instrText>
      </w:r>
      <w:r w:rsidR="00E46B62">
        <w:instrText xml:space="preserve">gure \* ARABIC </w:instrText>
      </w:r>
      <w:r w:rsidR="00E46B62">
        <w:fldChar w:fldCharType="separate"/>
      </w:r>
      <w:r w:rsidR="00231037">
        <w:rPr>
          <w:noProof/>
        </w:rPr>
        <w:t>1</w:t>
      </w:r>
      <w:r w:rsidR="00E46B62">
        <w:rPr>
          <w:noProof/>
        </w:rPr>
        <w:fldChar w:fldCharType="end"/>
      </w:r>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6317A63A" w:rsidR="00184AD3" w:rsidRDefault="00184AD3" w:rsidP="00184AD3">
      <w:pPr>
        <w:pStyle w:val="Caption"/>
        <w:rPr>
          <w:rFonts w:cstheme="minorHAnsi"/>
        </w:rPr>
      </w:pPr>
      <w:r>
        <w:t>Figure 3.</w:t>
      </w:r>
      <w:r w:rsidR="00E46B62">
        <w:fldChar w:fldCharType="begin"/>
      </w:r>
      <w:r w:rsidR="00E46B62">
        <w:instrText xml:space="preserve"> SEQ Figure \* ARABIC </w:instrText>
      </w:r>
      <w:r w:rsidR="00E46B62">
        <w:fldChar w:fldCharType="separate"/>
      </w:r>
      <w:r w:rsidR="00231037">
        <w:rPr>
          <w:noProof/>
        </w:rPr>
        <w:t>2</w:t>
      </w:r>
      <w:r w:rsidR="00E46B62">
        <w:rPr>
          <w:noProof/>
        </w:rPr>
        <w:fldChar w:fldCharType="end"/>
      </w:r>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lastRenderedPageBreak/>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5B219885" w:rsidR="00184AD3" w:rsidRDefault="00184AD3" w:rsidP="00184AD3">
      <w:pPr>
        <w:pStyle w:val="Caption"/>
      </w:pPr>
      <w:r>
        <w:t>Figure 3.</w:t>
      </w:r>
      <w:r w:rsidR="00E46B62">
        <w:fldChar w:fldCharType="begin"/>
      </w:r>
      <w:r w:rsidR="00E46B62">
        <w:instrText xml:space="preserve"> SEQ Figure \* ARABIC </w:instrText>
      </w:r>
      <w:r w:rsidR="00E46B62">
        <w:fldChar w:fldCharType="separate"/>
      </w:r>
      <w:r w:rsidR="00231037">
        <w:rPr>
          <w:noProof/>
        </w:rPr>
        <w:t>3</w:t>
      </w:r>
      <w:r w:rsidR="00E46B62">
        <w:rPr>
          <w:noProof/>
        </w:rPr>
        <w:fldChar w:fldCharType="end"/>
      </w:r>
      <w:r>
        <w:t>: Gaussian 3D and 2D Kernels</w:t>
      </w:r>
      <w:sdt>
        <w:sdtPr>
          <w:id w:val="974104496"/>
          <w:citation/>
        </w:sdtPr>
        <w:sdtEndPr/>
        <w:sdtContent>
          <w:r w:rsidR="001C2488">
            <w:fldChar w:fldCharType="begin"/>
          </w:r>
          <w:r w:rsidR="001C2488">
            <w:instrText xml:space="preserve"> CITATION Vij23 \l 1033 </w:instrText>
          </w:r>
          <w:r w:rsidR="001C2488">
            <w:fldChar w:fldCharType="separate"/>
          </w:r>
          <w:r w:rsidR="00880CD4">
            <w:rPr>
              <w:noProof/>
            </w:rPr>
            <w:t xml:space="preserve"> </w:t>
          </w:r>
          <w:r w:rsidR="00880CD4" w:rsidRPr="00880CD4">
            <w:rPr>
              <w:noProof/>
            </w:rPr>
            <w:t>[4]</w:t>
          </w:r>
          <w:r w:rsidR="001C2488">
            <w:fldChar w:fldCharType="end"/>
          </w:r>
        </w:sdtContent>
      </w:sdt>
    </w:p>
    <w:p w14:paraId="1F1344C1" w14:textId="5642FC5F" w:rsidR="00657865" w:rsidRPr="00657865" w:rsidRDefault="00657865" w:rsidP="00657865">
      <w:pPr>
        <w:jc w:val="lowKashida"/>
      </w:pPr>
      <w:r w:rsidRPr="00657865">
        <w:t>Effect of Sigma (σ): The choice of σ represents a fundamental tradeoff</w:t>
      </w:r>
      <w:sdt>
        <w:sdtPr>
          <w:id w:val="816156028"/>
          <w:citation/>
        </w:sdtPr>
        <w:sdtEndPr/>
        <w:sdtContent>
          <w:r w:rsidR="00C662C6">
            <w:fldChar w:fldCharType="begin"/>
          </w:r>
          <w:r w:rsidR="00C662C6">
            <w:instrText xml:space="preserve"> CITATION Zar25 \l 1033 </w:instrText>
          </w:r>
          <w:r w:rsidR="00C662C6">
            <w:fldChar w:fldCharType="separate"/>
          </w:r>
          <w:r w:rsidR="00880CD4">
            <w:rPr>
              <w:noProof/>
            </w:rPr>
            <w:t xml:space="preserve"> </w:t>
          </w:r>
          <w:r w:rsidR="00880CD4" w:rsidRPr="00880CD4">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43"/>
                <w:bookmarkStart w:id="8" w:name="_Hlk229814860"/>
                <w:bookmarkEnd w:id="7"/>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8"/>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3583AC29"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w:t>
      </w:r>
      <w:r>
        <w:rPr>
          <w:rFonts w:cstheme="minorHAnsi"/>
        </w:rPr>
        <w:lastRenderedPageBreak/>
        <w:t xml:space="preserve">pixel, the algorithm compares its magnitude </w:t>
      </w:r>
      <w:r>
        <w:rPr>
          <w:rFonts w:cstheme="minorHAnsi"/>
          <w:i/>
        </w:rPr>
        <w:t>M(</w:t>
      </w:r>
      <w:proofErr w:type="spellStart"/>
      <w:r>
        <w:rPr>
          <w:rFonts w:cstheme="minorHAnsi"/>
          <w:i/>
        </w:rPr>
        <w:t>x,y</w:t>
      </w:r>
      <w:proofErr w:type="spellEnd"/>
      <w:r>
        <w:rPr>
          <w:rFonts w:cstheme="minorHAnsi"/>
          <w:i/>
        </w:rPr>
        <w:t xml:space="preserve">) </w:t>
      </w:r>
      <w:r>
        <w:rPr>
          <w:rFonts w:cstheme="minorHAnsi"/>
        </w:rPr>
        <w:t xml:space="preserve">with the two immediate neighbors along that quantized edge direction. If </w:t>
      </w:r>
      <w:r>
        <w:rPr>
          <w:rFonts w:cstheme="minorHAnsi"/>
          <w:i/>
        </w:rPr>
        <w:t>M(</w:t>
      </w:r>
      <w:proofErr w:type="spellStart"/>
      <w:r>
        <w:rPr>
          <w:rFonts w:cstheme="minorHAnsi"/>
          <w:i/>
        </w:rPr>
        <w:t>x,y</w:t>
      </w:r>
      <w:proofErr w:type="spellEnd"/>
      <w:r>
        <w:rPr>
          <w:rFonts w:cstheme="minorHAnsi"/>
          <w:i/>
        </w:rPr>
        <w:t xml:space="preserve">)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End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880CD4">
            <w:rPr>
              <w:rFonts w:cstheme="minorHAnsi"/>
              <w:noProof/>
            </w:rPr>
            <w:t xml:space="preserve"> </w:t>
          </w:r>
          <w:r w:rsidR="00880CD4" w:rsidRPr="00880CD4">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23E2567A" w:rsidR="00184AD3" w:rsidRDefault="00184AD3" w:rsidP="00184AD3">
      <w:pPr>
        <w:pStyle w:val="TL13"/>
        <w:numPr>
          <w:ilvl w:val="2"/>
          <w:numId w:val="35"/>
        </w:numPr>
        <w:ind w:left="0" w:firstLine="0"/>
      </w:pPr>
      <w:r>
        <w:t>Region Of Interest</w:t>
      </w:r>
    </w:p>
    <w:p w14:paraId="3D1C561F" w14:textId="07A65951" w:rsidR="00336423" w:rsidRPr="00336423" w:rsidRDefault="00336423" w:rsidP="00336423">
      <w:pPr>
        <w:pStyle w:val="normal2"/>
        <w:jc w:val="lowKashida"/>
        <w:rPr>
          <w:rFonts w:asciiTheme="minorHAnsi" w:hAnsiTheme="minorHAnsi" w:cstheme="minorHAnsi"/>
        </w:rPr>
      </w:pPr>
      <w:r w:rsidRPr="00336423">
        <w:rPr>
          <w:rFonts w:asciiTheme="minorHAnsi" w:hAnsiTheme="minorHAnsi" w:cstheme="minorHAnsi"/>
        </w:rPr>
        <w:t xml:space="preserve">The Region of Interest (ROI) is a deliberately chosen subset of an image that is processed further while the remainder is ignored, concentrating computational resources on areas likely to contain relevant information and thereby improving both speed and robustness. The exact shape and placement of the ROI depend on camera properties such as field of view and mounting position. In this project, a trapezoidal mask </w:t>
      </w:r>
      <w:r w:rsidRPr="00336423">
        <w:rPr>
          <w:rFonts w:asciiTheme="minorHAnsi" w:hAnsiTheme="minorHAnsi" w:cstheme="minorHAnsi"/>
        </w:rPr>
        <w:t xml:space="preserve">is defined </w:t>
      </w:r>
      <w:r w:rsidRPr="00336423">
        <w:rPr>
          <w:rFonts w:asciiTheme="minorHAnsi" w:hAnsiTheme="minorHAnsi" w:cstheme="minorHAnsi"/>
        </w:rPr>
        <w:t>that discards image regions unlikely to contain lane markings (sky, neighboring vehicles, far periphery).</w:t>
      </w:r>
    </w:p>
    <w:p w14:paraId="689EAABA" w14:textId="77777777" w:rsidR="00336423" w:rsidRDefault="00336423" w:rsidP="00336423">
      <w:pPr>
        <w:pStyle w:val="normal2"/>
      </w:pPr>
    </w:p>
    <w:p w14:paraId="6659238C" w14:textId="77777777" w:rsidR="00184AD3" w:rsidRDefault="00184AD3" w:rsidP="00184AD3">
      <w:pPr>
        <w:pStyle w:val="TL13"/>
        <w:numPr>
          <w:ilvl w:val="2"/>
          <w:numId w:val="35"/>
        </w:numPr>
        <w:ind w:left="0" w:firstLine="0"/>
      </w:pPr>
      <w:r>
        <w:t xml:space="preserve">Hough Transform </w:t>
      </w:r>
      <w:proofErr w:type="gramStart"/>
      <w:r>
        <w:t>And</w:t>
      </w:r>
      <w:proofErr w:type="gramEnd"/>
      <w:r>
        <w:t xml:space="preserve">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72F0F">
      <w:pPr>
        <w:pStyle w:val="normal2"/>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7D07A823" w:rsidR="00184AD3" w:rsidRDefault="00184AD3" w:rsidP="00184AD3">
      <w:pPr>
        <w:pStyle w:val="Caption"/>
      </w:pPr>
      <w:r>
        <w:t>Figure 3.</w:t>
      </w:r>
      <w:r w:rsidR="00E46B62">
        <w:fldChar w:fldCharType="begin"/>
      </w:r>
      <w:r w:rsidR="00E46B62">
        <w:instrText xml:space="preserve"> SEQ Figure \* ARABIC </w:instrText>
      </w:r>
      <w:r w:rsidR="00E46B62">
        <w:fldChar w:fldCharType="separate"/>
      </w:r>
      <w:r w:rsidR="00231037">
        <w:rPr>
          <w:noProof/>
        </w:rPr>
        <w:t>4</w:t>
      </w:r>
      <w:r w:rsidR="00E46B62">
        <w:rPr>
          <w:noProof/>
        </w:rPr>
        <w:fldChar w:fldCharType="end"/>
      </w:r>
      <w:r>
        <w:t>: Line representation</w:t>
      </w:r>
      <w:sdt>
        <w:sdtPr>
          <w:id w:val="826943971"/>
          <w:citation/>
        </w:sdtPr>
        <w:sdtEndPr/>
        <w:sdtContent>
          <w:r w:rsidR="001C2488">
            <w:fldChar w:fldCharType="begin"/>
          </w:r>
          <w:r w:rsidR="001C2488">
            <w:instrText xml:space="preserve"> CITATION Sha23 \l 1033 </w:instrText>
          </w:r>
          <w:r w:rsidR="001C2488">
            <w:fldChar w:fldCharType="separate"/>
          </w:r>
          <w:r w:rsidR="00880CD4">
            <w:rPr>
              <w:noProof/>
            </w:rPr>
            <w:t xml:space="preserve"> </w:t>
          </w:r>
          <w:r w:rsidR="00880CD4" w:rsidRPr="00880CD4">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lastRenderedPageBreak/>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1279264C" w14:textId="7AAB8F3D" w:rsidR="005B7D04" w:rsidRPr="00656E94" w:rsidRDefault="00184AD3" w:rsidP="00656E94">
      <w:pPr>
        <w:jc w:val="lowKashida"/>
        <w:rPr>
          <w:rFonts w:cstheme="minorHAnsi"/>
          <w:lang w:bidi="fa-IR"/>
        </w:rPr>
      </w:pPr>
      <w:r w:rsidRPr="00656E94">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sidRPr="00656E94">
        <w:rPr>
          <w:rFonts w:cstheme="minorHAnsi"/>
          <w:lang w:bidi="fa-IR"/>
        </w:rPr>
        <w:t>) and right (</w:t>
      </w:r>
      <m:oMath>
        <m:r>
          <w:rPr>
            <w:rFonts w:ascii="Cambria Math" w:hAnsi="Cambria Math" w:cstheme="minorHAnsi"/>
            <w:lang w:bidi="fa-IR"/>
          </w:rPr>
          <m:t>θ&gt;0</m:t>
        </m:r>
      </m:oMath>
      <w:r w:rsidRPr="00656E94">
        <w:rPr>
          <w:rFonts w:cstheme="minorHAnsi"/>
          <w:lang w:bidi="fa-IR"/>
        </w:rPr>
        <w:t xml:space="preserve">) </w:t>
      </w:r>
      <w:proofErr w:type="gramStart"/>
      <w:r w:rsidRPr="00656E94">
        <w:rPr>
          <w:rFonts w:cstheme="minorHAnsi"/>
          <w:lang w:bidi="fa-IR"/>
        </w:rPr>
        <w:t>groups.For</w:t>
      </w:r>
      <w:proofErr w:type="gramEnd"/>
      <w:r w:rsidRPr="00656E94">
        <w:rPr>
          <w:rFonts w:cstheme="minorHAnsi"/>
          <w:lang w:bidi="fa-IR"/>
        </w:rPr>
        <w:t xml:space="preserve"> each group, the mean of all ρ values and the mean of all θ values are computed via a function. These averaged parameters then define the final left and right lane lines. This averaging approach is robust against noise and fragmented line detections (e.g., dashed lane markings) because it combines evidence from all candidate segments instead of relying on a single peak. </w:t>
      </w:r>
    </w:p>
    <w:p w14:paraId="72C0C9D4" w14:textId="658000CC" w:rsidR="005B7D04" w:rsidRPr="005B7D04" w:rsidRDefault="00656E94" w:rsidP="00656E94">
      <w:pPr>
        <w:jc w:val="lowKashida"/>
        <w:rPr>
          <w:rFonts w:cstheme="minorHAnsi"/>
          <w:lang w:bidi="fa-IR"/>
        </w:rPr>
      </w:pPr>
      <w:r w:rsidRPr="00656E94">
        <w:rPr>
          <w:rFonts w:cstheme="minorHAnsi"/>
          <w:lang w:bidi="fa-IR"/>
        </w:rPr>
        <w:t>Moreover, another way to make the lines selection more accurate</w:t>
      </w:r>
      <w:r w:rsidR="005B7D04" w:rsidRPr="005B7D04">
        <w:rPr>
          <w:rFonts w:cstheme="minorHAnsi"/>
          <w:lang w:bidi="fa-IR"/>
        </w:rPr>
        <w:t xml:space="preserve">, the mean </w:t>
      </w:r>
      <w:r w:rsidRPr="00656E94">
        <w:rPr>
          <w:rFonts w:cstheme="minorHAnsi"/>
          <w:lang w:bidi="fa-IR"/>
        </w:rPr>
        <w:t>can be</w:t>
      </w:r>
      <w:r w:rsidR="005B7D04" w:rsidRPr="005B7D04">
        <w:rPr>
          <w:rFonts w:cstheme="minorHAnsi"/>
          <w:lang w:bidi="fa-IR"/>
        </w:rPr>
        <w:t xml:space="preserve"> replaced by the median per group for greater outlier resistance, and the resulting (</w:t>
      </w:r>
      <w:proofErr w:type="spellStart"/>
      <w:proofErr w:type="gramStart"/>
      <w:r w:rsidR="005B7D04" w:rsidRPr="005B7D04">
        <w:rPr>
          <w:rFonts w:cstheme="minorHAnsi"/>
          <w:lang w:bidi="fa-IR"/>
        </w:rPr>
        <w:t>ρ,θ</w:t>
      </w:r>
      <w:proofErr w:type="spellEnd"/>
      <w:proofErr w:type="gramEnd"/>
      <w:r w:rsidR="005B7D04" w:rsidRPr="005B7D04">
        <w:rPr>
          <w:rFonts w:cstheme="minorHAnsi"/>
          <w:lang w:bidi="fa-IR"/>
        </w:rPr>
        <w:t xml:space="preserve">) </w:t>
      </w:r>
      <w:r w:rsidRPr="00656E94">
        <w:rPr>
          <w:rFonts w:cstheme="minorHAnsi"/>
          <w:lang w:bidi="fa-IR"/>
        </w:rPr>
        <w:t>can become</w:t>
      </w:r>
      <w:r w:rsidR="005B7D04" w:rsidRPr="005B7D04">
        <w:rPr>
          <w:rFonts w:cstheme="minorHAnsi"/>
          <w:lang w:bidi="fa-IR"/>
        </w:rPr>
        <w:t xml:space="preserve"> smooth over time (α = 0.2). An intersection check also prevents the left and right lines from crossing within the ROI, eliminating common crossover artifacts.</w:t>
      </w:r>
    </w:p>
    <w:p w14:paraId="5D8FAD57" w14:textId="77777777" w:rsidR="00172F0F" w:rsidRDefault="00172F0F" w:rsidP="001C2488">
      <w:pPr>
        <w:jc w:val="lowKashida"/>
        <w:rPr>
          <w:rFonts w:cstheme="minorHAnsi"/>
          <w:lang w:bidi="fa-IR"/>
        </w:rPr>
      </w:pPr>
    </w:p>
    <w:p w14:paraId="7C2A8182" w14:textId="56E9FE98" w:rsidR="00172F0F" w:rsidRDefault="00172F0F" w:rsidP="00172F0F">
      <w:pPr>
        <w:pStyle w:val="TL11"/>
      </w:pPr>
      <w:r>
        <w:t>Warning Logic</w:t>
      </w:r>
      <w:r w:rsidR="00737F60">
        <w:t>: Lateral Offset Ratio</w:t>
      </w:r>
    </w:p>
    <w:p w14:paraId="2FFF3C38" w14:textId="1B0DDBF3" w:rsidR="00172F0F" w:rsidRPr="00731FB9" w:rsidRDefault="00737F60" w:rsidP="000F07DA">
      <w:r w:rsidRPr="00731FB9">
        <w:t>The Lateral Offset Ratio (LOR) is a dimensionless computational metric utilized within Vision-Based Lane Departure Warning (VBLDW) frameworks to predict unintended vehicle drift</w:t>
      </w:r>
      <w:sdt>
        <w:sdtPr>
          <w:id w:val="716700598"/>
          <w:citation/>
        </w:sdtPr>
        <w:sdtEndPr/>
        <w:sdtContent>
          <w:r w:rsidR="00E97DE1">
            <w:fldChar w:fldCharType="begin"/>
          </w:r>
          <w:r w:rsidR="00E97DE1">
            <w:instrText xml:space="preserve"> CITATION JWu21 \l 1033 </w:instrText>
          </w:r>
          <w:r w:rsidR="00E97DE1">
            <w:fldChar w:fldCharType="separate"/>
          </w:r>
          <w:r w:rsidR="00880CD4">
            <w:rPr>
              <w:noProof/>
            </w:rPr>
            <w:t xml:space="preserve"> </w:t>
          </w:r>
          <w:r w:rsidR="00880CD4" w:rsidRPr="00880CD4">
            <w:rPr>
              <w:noProof/>
            </w:rPr>
            <w:t>[7]</w:t>
          </w:r>
          <w:r w:rsidR="00E97DE1">
            <w:fldChar w:fldCharType="end"/>
          </w:r>
        </w:sdtContent>
      </w:sdt>
      <w:r w:rsidRPr="00731FB9">
        <w:t>. In modern automotive engineering, lateral offset is defined as the distance between a vehicle's centerline and the lane's centerline, serving as a primary variable for assessing driving performance and car-following efficacy. A primary academic and practical advantage of the LOR method is that it operates without the need for intrinsic or extrinsic camera calibration, making it significantly more flexible and cost-effective than traditional techniques requiring precise camera parameters</w:t>
      </w:r>
      <w:r w:rsidR="00406B1E">
        <w:t>[8]</w:t>
      </w:r>
      <w:r w:rsidRPr="00731FB9">
        <w:t>.</w:t>
      </w:r>
    </w:p>
    <w:p w14:paraId="406D0466" w14:textId="3695AE08" w:rsidR="00737F60" w:rsidRPr="00737F60" w:rsidRDefault="00737F60" w:rsidP="008C7E4A">
      <w:pPr>
        <w:pStyle w:val="TL12"/>
      </w:pPr>
      <w:r w:rsidRPr="00737F60">
        <w:t xml:space="preserve">Mathematical </w:t>
      </w:r>
      <w:r w:rsidRPr="008C7E4A">
        <w:t>Specification</w:t>
      </w:r>
    </w:p>
    <w:p w14:paraId="4F729DB5" w14:textId="77777777" w:rsidR="00737F60" w:rsidRDefault="00737F60" w:rsidP="00737F60"/>
    <w:p w14:paraId="7035F666" w14:textId="65105D9E" w:rsidR="00737F60" w:rsidRPr="00737F60" w:rsidRDefault="00737F60" w:rsidP="00737F60">
      <w:r w:rsidRPr="00737F60">
        <w:t>The LOR is calculated for every video frame using the horizontal</w:t>
      </w:r>
      <w:r w:rsidR="00F15EEA">
        <w:t xml:space="preserve"> </w:t>
      </w:r>
      <w:r w:rsidRPr="00737F60">
        <w:t>coordinates of the bottom end-points of detected lane boundaries within the image plane.</w:t>
      </w:r>
    </w:p>
    <w:p w14:paraId="613A9712" w14:textId="1C834DAA" w:rsidR="00737F60" w:rsidRDefault="00737F60" w:rsidP="00737F60">
      <w:r w:rsidRPr="00737F60">
        <w:t>The governing equation for LOR is</w:t>
      </w:r>
      <w:r w:rsidR="00547CF7">
        <w:t>[7]</w:t>
      </w:r>
      <w:r w:rsidRPr="00737F60">
        <w:t xml:space="preserve">: </w:t>
      </w:r>
    </w:p>
    <w:p w14:paraId="1B81AC67" w14:textId="74473B10" w:rsidR="00737F60" w:rsidRDefault="006C5C4A" w:rsidP="00737F60">
      <w:r w:rsidRPr="00737F60">
        <w:rPr>
          <w:noProof/>
        </w:rPr>
        <mc:AlternateContent>
          <mc:Choice Requires="wps">
            <w:drawing>
              <wp:anchor distT="0" distB="0" distL="114300" distR="114300" simplePos="0" relativeHeight="251659264" behindDoc="0" locked="0" layoutInCell="1" allowOverlap="1" wp14:anchorId="3C811F7B" wp14:editId="7EB5A059">
                <wp:simplePos x="0" y="0"/>
                <wp:positionH relativeFrom="margin">
                  <wp:align>right</wp:align>
                </wp:positionH>
                <wp:positionV relativeFrom="paragraph">
                  <wp:posOffset>77443</wp:posOffset>
                </wp:positionV>
                <wp:extent cx="4783940" cy="409575"/>
                <wp:effectExtent l="0" t="0" r="0" b="0"/>
                <wp:wrapNone/>
                <wp:docPr id="376744574" name="TextBox 4"/>
                <wp:cNvGraphicFramePr/>
                <a:graphic xmlns:a="http://schemas.openxmlformats.org/drawingml/2006/main">
                  <a:graphicData uri="http://schemas.microsoft.com/office/word/2010/wordprocessingShape">
                    <wps:wsp>
                      <wps:cNvSpPr txBox="1"/>
                      <wps:spPr>
                        <a:xfrm>
                          <a:off x="0" y="0"/>
                          <a:ext cx="4783940" cy="409575"/>
                        </a:xfrm>
                        <a:prstGeom prst="rect">
                          <a:avLst/>
                        </a:prstGeom>
                        <a:noFill/>
                      </wps:spPr>
                      <wps:txb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0"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0"/>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1"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1"/>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3C811F7B" id="_x0000_t202" coordsize="21600,21600" o:spt="202" path="m,l,21600r21600,l21600,xe">
                <v:stroke joinstyle="miter"/>
                <v:path gradientshapeok="t" o:connecttype="rect"/>
              </v:shapetype>
              <v:shape id="TextBox 4" o:spid="_x0000_s1026" type="#_x0000_t202" style="position:absolute;left:0;text-align:left;margin-left:325.5pt;margin-top:6.1pt;width:376.7pt;height:32.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" filled="f" stroked="f">
                <v:textbo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2"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2"/>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3"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3"/>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v:textbox>
                <w10:wrap anchorx="margin"/>
              </v:shape>
            </w:pict>
          </mc:Fallback>
        </mc:AlternateContent>
      </w:r>
    </w:p>
    <w:p w14:paraId="1C7AFDB9" w14:textId="77777777" w:rsidR="00737F60" w:rsidRDefault="00737F60" w:rsidP="00737F60"/>
    <w:p w14:paraId="6790B137" w14:textId="77777777" w:rsidR="00737F60" w:rsidRDefault="00737F60" w:rsidP="00737F60"/>
    <w:p w14:paraId="60F30840" w14:textId="77777777" w:rsidR="000F07DA" w:rsidRPr="000F07DA" w:rsidRDefault="000F07DA" w:rsidP="000F07DA">
      <w:r w:rsidRPr="000F07DA">
        <w:rPr>
          <w:b/>
          <w:bCs/>
        </w:rPr>
        <w:t>Variable Definitions:</w:t>
      </w:r>
    </w:p>
    <w:p w14:paraId="6690763C" w14:textId="5569A710" w:rsidR="000F07DA" w:rsidRPr="000F07DA" w:rsidRDefault="00E46B62" w:rsidP="000F07DA">
      <w:pPr>
        <w:numPr>
          <w:ilvl w:val="0"/>
          <w:numId w:val="36"/>
        </w:numPr>
        <w:tabs>
          <w:tab w:val="num" w:pos="720"/>
        </w:tabs>
      </w:pPr>
      <m:oMath>
        <m:sSub>
          <m:sSubPr>
            <m:ctrlPr>
              <w:rPr>
                <w:rFonts w:ascii="Cambria Math" w:hAnsi="Cambria Math"/>
                <w:i/>
                <w:iCs/>
              </w:rPr>
            </m:ctrlPr>
          </m:sSubPr>
          <m:e>
            <m:r>
              <w:rPr>
                <w:rFonts w:ascii="Cambria Math" w:hAnsi="Cambria Math"/>
              </w:rPr>
              <m:t>X</m:t>
            </m:r>
          </m:e>
          <m:sub>
            <m:r>
              <m:rPr>
                <m:sty m:val="p"/>
              </m:rPr>
              <w:rPr>
                <w:rFonts w:ascii="Cambria Math" w:hAnsi="Cambria Math"/>
              </w:rPr>
              <m:t>12</m:t>
            </m:r>
          </m:sub>
        </m:sSub>
        <m:r>
          <w:rPr>
            <w:rFonts w:ascii="Cambria Math" w:hAnsi="Cambria Math"/>
          </w:rPr>
          <m:t xml:space="preserve"> </m:t>
        </m:r>
      </m:oMath>
      <w:r w:rsidR="000F07DA" w:rsidRPr="000F07DA">
        <w:rPr>
          <w:b/>
          <w:bCs/>
        </w:rPr>
        <w:t>:</w:t>
      </w:r>
      <w:r w:rsidR="000F07DA" w:rsidRPr="000F07DA">
        <w:t xml:space="preserve"> The detected left bottom end-point of the left lane boundary.</w:t>
      </w:r>
    </w:p>
    <w:p w14:paraId="4F14C6B8" w14:textId="513B03E7" w:rsidR="000F07DA" w:rsidRPr="000F07DA" w:rsidRDefault="00E46B62"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m:rPr>
                <m:sty m:val="p"/>
              </m:rPr>
              <w:rPr>
                <w:rFonts w:ascii="Cambria Math" w:hAnsi="Cambria Math"/>
                <w:color w:val="000000" w:themeColor="text1"/>
                <w:kern w:val="24"/>
                <w:szCs w:val="20"/>
              </w:rPr>
              <m:t>22</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detected right bottom end-point of the right lane boundary.</w:t>
      </w:r>
    </w:p>
    <w:p w14:paraId="6B186266" w14:textId="60118EC1" w:rsidR="000F07DA" w:rsidRPr="000F07DA" w:rsidRDefault="00E46B62"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w:rPr>
                <w:rFonts w:ascii="Cambria Math" w:hAnsi="Cambria Math"/>
                <w:color w:val="000000" w:themeColor="text1"/>
                <w:kern w:val="24"/>
                <w:szCs w:val="20"/>
              </w:rPr>
              <m:t>m</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One-half of the horizontal width of the image plane, representing the camera's optical center line.</w:t>
      </w:r>
    </w:p>
    <w:p w14:paraId="2183CFED" w14:textId="09987F33" w:rsidR="000F07DA" w:rsidRPr="000F07DA" w:rsidRDefault="00E46B62"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T</m:t>
            </m:r>
          </m:e>
          <m:sub>
            <m:r>
              <w:rPr>
                <w:rFonts w:ascii="Cambria Math" w:hAnsi="Cambria Math"/>
                <w:color w:val="000000" w:themeColor="text1"/>
                <w:kern w:val="24"/>
                <w:szCs w:val="20"/>
              </w:rPr>
              <m:t>H</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lane departure warning threshold, defined as a </w:t>
      </w:r>
      <w:r w:rsidR="000F07DA" w:rsidRPr="00451FC1">
        <w:t>constant value of 0.8</w:t>
      </w:r>
      <w:r w:rsidR="00E23215">
        <w:t xml:space="preserve"> </w:t>
      </w:r>
      <w:r w:rsidR="009B734A">
        <w:t>[9]</w:t>
      </w:r>
      <w:r w:rsidR="000F07DA" w:rsidRPr="000F07DA">
        <w:t>.</w:t>
      </w:r>
    </w:p>
    <w:p w14:paraId="58CC8E17" w14:textId="71381D31" w:rsidR="000F07DA" w:rsidRDefault="000F07DA" w:rsidP="000F07DA">
      <w:r w:rsidRPr="000F07DA">
        <w:t>This ratio represents the relationship between the horizontal pixel distance from the warning threshold to the detected lane boundary and the distance from the threshold to the center line.</w:t>
      </w:r>
      <w:r>
        <w:t xml:space="preserve"> The visualized of this parameter based on the image could be found in bellow:</w:t>
      </w:r>
    </w:p>
    <w:p w14:paraId="12A9585B" w14:textId="03648C19" w:rsidR="00463AB0" w:rsidRDefault="00424CEA" w:rsidP="00463AB0">
      <w:pPr>
        <w:keepNext/>
        <w:jc w:val="center"/>
      </w:pPr>
      <w:r>
        <w:rPr>
          <w:noProof/>
        </w:rPr>
        <w:drawing>
          <wp:inline distT="0" distB="0" distL="0" distR="0" wp14:anchorId="1EAA45A5" wp14:editId="055E4E29">
            <wp:extent cx="3472476" cy="1860288"/>
            <wp:effectExtent l="0" t="0" r="0" b="6985"/>
            <wp:docPr id="200519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93443" name=""/>
                    <pic:cNvPicPr/>
                  </pic:nvPicPr>
                  <pic:blipFill>
                    <a:blip r:embed="rId25"/>
                    <a:stretch>
                      <a:fillRect/>
                    </a:stretch>
                  </pic:blipFill>
                  <pic:spPr>
                    <a:xfrm>
                      <a:off x="0" y="0"/>
                      <a:ext cx="3496753" cy="1873294"/>
                    </a:xfrm>
                    <a:prstGeom prst="rect">
                      <a:avLst/>
                    </a:prstGeom>
                  </pic:spPr>
                </pic:pic>
              </a:graphicData>
            </a:graphic>
          </wp:inline>
        </w:drawing>
      </w:r>
    </w:p>
    <w:p w14:paraId="296E949D" w14:textId="713D5A0E" w:rsidR="00463AB0" w:rsidRPr="000F07DA" w:rsidRDefault="00463AB0" w:rsidP="00463AB0">
      <w:pPr>
        <w:pStyle w:val="Caption"/>
      </w:pPr>
      <w:r>
        <w:t>Figure 4.1 Lane detected parameters on image</w:t>
      </w:r>
    </w:p>
    <w:p w14:paraId="489E1A65" w14:textId="5AAA0041" w:rsidR="00737F60" w:rsidRPr="008C7E4A" w:rsidRDefault="008C7E4A" w:rsidP="008C7E4A">
      <w:pPr>
        <w:pStyle w:val="TL12"/>
      </w:pPr>
      <w:r w:rsidRPr="008C7E4A">
        <w:rPr>
          <w:bCs/>
        </w:rPr>
        <w:t>Classification of Lane Departure Events</w:t>
      </w:r>
    </w:p>
    <w:p w14:paraId="460E0678" w14:textId="77777777" w:rsidR="008C7E4A" w:rsidRDefault="008C7E4A" w:rsidP="008C7E4A"/>
    <w:p w14:paraId="25D45891" w14:textId="1A3DB063" w:rsidR="008C7E4A" w:rsidRDefault="008E7844" w:rsidP="008E7844">
      <w:r w:rsidRPr="008E7844">
        <w:t xml:space="preserve">The Classification of Lane Departure Events is primarily determined by the specific value of the Lateral Offset Ratio (LOR), which categorizes the vehicle's state into operational contexts ranging from centered driving to a full boundary crossing. A calculated LOR of 0.25 indicates the vehicle is perfectly centered within its lane, while values between 0 and 0.25 represent normal driving within a "safe zone" where no warning is triggered. The system identifies a critical warning limit when the LOR reaches 0, signifying that the vehicle has exactly crossed the predefined warning threshold—often set at 80% of the lane width per ISO 17361:2007 </w:t>
      </w:r>
      <w:proofErr w:type="gramStart"/>
      <w:r w:rsidRPr="008E7844">
        <w:t>standards</w:t>
      </w:r>
      <w:r w:rsidR="00F82B7D">
        <w:t>[</w:t>
      </w:r>
      <w:proofErr w:type="gramEnd"/>
      <w:r w:rsidR="00F82B7D">
        <w:t>7]</w:t>
      </w:r>
      <w:r w:rsidRPr="008E7844">
        <w:t>. Values between -1 and 0 place the vehicle in the departure zone, indicating it is drifting into an adjacent lane, and a minimum LOR value of -1 identifies a complete boundary crossing where the vehicle is physically intersecting the lane boundary.</w:t>
      </w:r>
    </w:p>
    <w:p w14:paraId="48FFAF08" w14:textId="77777777" w:rsidR="00AD07A3" w:rsidRDefault="00AD07A3" w:rsidP="008E7844"/>
    <w:p w14:paraId="31C3D56D" w14:textId="2FE5C296" w:rsidR="000B4B70" w:rsidRDefault="000B4B70" w:rsidP="000B4B70">
      <w:pPr>
        <w:pStyle w:val="Caption"/>
      </w:pPr>
      <w:r>
        <w:t xml:space="preserve">Table </w:t>
      </w:r>
      <w:r w:rsidR="00E46B62">
        <w:fldChar w:fldCharType="begin"/>
      </w:r>
      <w:r w:rsidR="00E46B62">
        <w:instrText xml:space="preserve"> SEQ Table \* ARABIC </w:instrText>
      </w:r>
      <w:r w:rsidR="00E46B62">
        <w:fldChar w:fldCharType="separate"/>
      </w:r>
      <w:r>
        <w:rPr>
          <w:noProof/>
        </w:rPr>
        <w:t>1</w:t>
      </w:r>
      <w:r w:rsidR="00E46B62">
        <w:rPr>
          <w:noProof/>
        </w:rPr>
        <w:fldChar w:fldCharType="end"/>
      </w:r>
      <w:r w:rsidRPr="000B4B70">
        <w:t xml:space="preserve"> </w:t>
      </w:r>
      <w:r>
        <w:t>Figure 4.2 LOR classification value</w:t>
      </w:r>
    </w:p>
    <w:tbl>
      <w:tblPr>
        <w:tblStyle w:val="GridTable1Light"/>
        <w:tblW w:w="0" w:type="auto"/>
        <w:jc w:val="center"/>
        <w:tblLook w:val="04A0" w:firstRow="1" w:lastRow="0" w:firstColumn="1" w:lastColumn="0" w:noHBand="0" w:noVBand="1"/>
      </w:tblPr>
      <w:tblGrid>
        <w:gridCol w:w="3347"/>
        <w:gridCol w:w="3347"/>
      </w:tblGrid>
      <w:tr w:rsidR="00BF190D" w14:paraId="4CC22FED" w14:textId="77777777" w:rsidTr="001C4300">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059E9351" w14:textId="08FA8009" w:rsidR="00BF190D" w:rsidRPr="000B4B70" w:rsidRDefault="00BF190D" w:rsidP="000B4B70">
            <w:pPr>
              <w:jc w:val="center"/>
              <w:rPr>
                <w:b w:val="0"/>
                <w:bCs w:val="0"/>
              </w:rPr>
            </w:pPr>
            <w:r w:rsidRPr="000B4B70">
              <w:rPr>
                <w:b w:val="0"/>
                <w:bCs w:val="0"/>
              </w:rPr>
              <w:t>LOR Value</w:t>
            </w:r>
          </w:p>
        </w:tc>
        <w:tc>
          <w:tcPr>
            <w:tcW w:w="3347" w:type="dxa"/>
            <w:vAlign w:val="center"/>
          </w:tcPr>
          <w:p w14:paraId="2F8642EC" w14:textId="342360D7" w:rsidR="00BF190D" w:rsidRPr="000B4B70" w:rsidRDefault="00BF190D" w:rsidP="000B4B70">
            <w:pPr>
              <w:jc w:val="center"/>
              <w:cnfStyle w:val="100000000000" w:firstRow="1" w:lastRow="0" w:firstColumn="0" w:lastColumn="0" w:oddVBand="0" w:evenVBand="0" w:oddHBand="0" w:evenHBand="0" w:firstRowFirstColumn="0" w:firstRowLastColumn="0" w:lastRowFirstColumn="0" w:lastRowLastColumn="0"/>
              <w:rPr>
                <w:b w:val="0"/>
                <w:bCs w:val="0"/>
              </w:rPr>
            </w:pPr>
            <w:r w:rsidRPr="000B4B70">
              <w:rPr>
                <w:b w:val="0"/>
                <w:bCs w:val="0"/>
              </w:rPr>
              <w:t>Lane Departure Status</w:t>
            </w:r>
          </w:p>
        </w:tc>
      </w:tr>
      <w:tr w:rsidR="00BF190D" w14:paraId="044D2704" w14:textId="77777777" w:rsidTr="001C4300">
        <w:trPr>
          <w:trHeight w:val="404"/>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0B568EB" w14:textId="7EF18472" w:rsidR="00BF190D" w:rsidRPr="000B4B70" w:rsidRDefault="00BF190D" w:rsidP="000B4B70">
            <w:pPr>
              <w:jc w:val="center"/>
              <w:rPr>
                <w:b w:val="0"/>
                <w:bCs w:val="0"/>
              </w:rPr>
            </w:pPr>
            <w:r w:rsidRPr="000B4B70">
              <w:rPr>
                <w:b w:val="0"/>
                <w:bCs w:val="0"/>
              </w:rPr>
              <w:t>LOR &gt;</w:t>
            </w:r>
            <w:r w:rsidR="000B4B70" w:rsidRPr="000B4B70">
              <w:rPr>
                <w:b w:val="0"/>
                <w:bCs w:val="0"/>
              </w:rPr>
              <w:t>=</w:t>
            </w:r>
            <w:r w:rsidRPr="000B4B70">
              <w:rPr>
                <w:b w:val="0"/>
                <w:bCs w:val="0"/>
              </w:rPr>
              <w:t xml:space="preserve"> </w:t>
            </w:r>
            <w:r w:rsidR="000B4B70" w:rsidRPr="000B4B70">
              <w:rPr>
                <w:b w:val="0"/>
                <w:bCs w:val="0"/>
              </w:rPr>
              <w:t>0.25</w:t>
            </w:r>
          </w:p>
        </w:tc>
        <w:tc>
          <w:tcPr>
            <w:tcW w:w="3347" w:type="dxa"/>
            <w:vAlign w:val="center"/>
          </w:tcPr>
          <w:p w14:paraId="5A86E6B2" w14:textId="337255ED"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Safe Zone</w:t>
            </w:r>
          </w:p>
        </w:tc>
      </w:tr>
      <w:tr w:rsidR="00BF190D" w14:paraId="44A7CC34"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1EDE6A98" w14:textId="7327AC13" w:rsidR="00BF190D" w:rsidRPr="000B4B70" w:rsidRDefault="000B4B70" w:rsidP="000B4B70">
            <w:pPr>
              <w:jc w:val="center"/>
              <w:rPr>
                <w:b w:val="0"/>
                <w:bCs w:val="0"/>
              </w:rPr>
            </w:pPr>
            <w:r w:rsidRPr="000B4B70">
              <w:rPr>
                <w:b w:val="0"/>
                <w:bCs w:val="0"/>
              </w:rPr>
              <w:t xml:space="preserve">0 &lt; </w:t>
            </w:r>
            <w:r w:rsidR="00BF190D" w:rsidRPr="000B4B70">
              <w:rPr>
                <w:b w:val="0"/>
                <w:bCs w:val="0"/>
              </w:rPr>
              <w:t>LOR &lt;</w:t>
            </w:r>
            <w:r w:rsidRPr="000B4B70">
              <w:rPr>
                <w:b w:val="0"/>
                <w:bCs w:val="0"/>
              </w:rPr>
              <w:t xml:space="preserve"> 0.25</w:t>
            </w:r>
          </w:p>
        </w:tc>
        <w:tc>
          <w:tcPr>
            <w:tcW w:w="3347" w:type="dxa"/>
            <w:vAlign w:val="center"/>
          </w:tcPr>
          <w:p w14:paraId="55AC0E27" w14:textId="7A75D201"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Near Departure (no departur</w:t>
            </w:r>
            <w:r w:rsidR="004414F4">
              <w:t>e</w:t>
            </w:r>
            <w:r w:rsidRPr="000B4B70">
              <w:t>)</w:t>
            </w:r>
          </w:p>
        </w:tc>
      </w:tr>
      <w:tr w:rsidR="00BF190D" w14:paraId="6C0D3F11"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7451BF27" w14:textId="322C0E29" w:rsidR="00BF190D" w:rsidRPr="000B4B70" w:rsidRDefault="000B4B70" w:rsidP="000B4B70">
            <w:pPr>
              <w:jc w:val="center"/>
              <w:rPr>
                <w:b w:val="0"/>
                <w:bCs w:val="0"/>
              </w:rPr>
            </w:pPr>
            <w:r w:rsidRPr="000B4B70">
              <w:rPr>
                <w:b w:val="0"/>
                <w:bCs w:val="0"/>
              </w:rPr>
              <w:lastRenderedPageBreak/>
              <w:t>LOR &lt; 0</w:t>
            </w:r>
          </w:p>
        </w:tc>
        <w:tc>
          <w:tcPr>
            <w:tcW w:w="3347" w:type="dxa"/>
            <w:vAlign w:val="center"/>
          </w:tcPr>
          <w:p w14:paraId="7F1F3A51" w14:textId="148EBAC8"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Departure Warning</w:t>
            </w:r>
          </w:p>
        </w:tc>
      </w:tr>
    </w:tbl>
    <w:p w14:paraId="58AE5527" w14:textId="77777777" w:rsidR="00BF190D" w:rsidRPr="008E7844" w:rsidRDefault="00BF190D" w:rsidP="008E7844"/>
    <w:p w14:paraId="32C5A747" w14:textId="05ECEC14" w:rsidR="00731FB9" w:rsidRDefault="00731FB9" w:rsidP="00731FB9">
      <w:pPr>
        <w:keepNext/>
        <w:jc w:val="center"/>
      </w:pPr>
    </w:p>
    <w:p w14:paraId="76DED55E" w14:textId="73A6A4C8" w:rsidR="00B56AF6" w:rsidRDefault="00B56AF6" w:rsidP="00B56AF6">
      <w:pPr>
        <w:pStyle w:val="TL11"/>
        <w:numPr>
          <w:ilvl w:val="0"/>
          <w:numId w:val="0"/>
        </w:numPr>
      </w:pPr>
      <w:r>
        <w:t>Result</w:t>
      </w:r>
      <w:r w:rsidR="006B2295">
        <w:t>s</w:t>
      </w:r>
    </w:p>
    <w:p w14:paraId="0049BC26" w14:textId="77777777" w:rsidR="00EE2411" w:rsidRPr="00EE2411" w:rsidRDefault="00EE2411" w:rsidP="00EE2411">
      <w:pPr>
        <w:keepNext/>
      </w:pPr>
      <w:r w:rsidRPr="00EE2411">
        <w:t>After developing all the components described above, we evaluated the system using two test frames: one representing a normal driving condition within the lane and another representing a lane departure scenario. The results demonstrated that the proposed workflow operates correctly and is capable of detecting lane departures while providing an appropriate visual warning.</w:t>
      </w:r>
    </w:p>
    <w:p w14:paraId="27C39DBA" w14:textId="6624EED3" w:rsidR="00EE2411" w:rsidRDefault="00EE2411" w:rsidP="00EE2411">
      <w:pPr>
        <w:keepNext/>
      </w:pPr>
      <w:r w:rsidRPr="00EE2411">
        <w:t>As illustrated in Figure 5.1, the vehicle remains within the lane boundaries, and therefore the Lateral Offset Ratio (LOR) is expected to be positive. The image processing algorithm</w:t>
      </w:r>
      <w:r>
        <w:t xml:space="preserve"> </w:t>
      </w:r>
      <w:r w:rsidRPr="00EE2411">
        <w:t>successfully detects the lane markings, while the warning logic based on the LOR accurately determines the vehicle’s lane status and identifies potential departures.</w:t>
      </w:r>
    </w:p>
    <w:p w14:paraId="05778967" w14:textId="77777777" w:rsidR="00EE2411" w:rsidRPr="00EE2411" w:rsidRDefault="00EE2411" w:rsidP="00EE2411">
      <w:pPr>
        <w:keepNext/>
        <w:jc w:val="left"/>
      </w:pPr>
    </w:p>
    <w:p w14:paraId="09496534" w14:textId="77777777" w:rsidR="00B56AF6" w:rsidRDefault="00B56AF6" w:rsidP="00B56AF6">
      <w:pPr>
        <w:keepNext/>
        <w:jc w:val="center"/>
      </w:pPr>
      <w:r>
        <w:rPr>
          <w:noProof/>
        </w:rPr>
        <w:drawing>
          <wp:inline distT="0" distB="0" distL="0" distR="0" wp14:anchorId="2791FC17" wp14:editId="786D84BD">
            <wp:extent cx="3169781" cy="1643158"/>
            <wp:effectExtent l="0" t="0" r="0" b="0"/>
            <wp:docPr id="1244684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84507"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169781" cy="1643158"/>
                    </a:xfrm>
                    <a:prstGeom prst="rect">
                      <a:avLst/>
                    </a:prstGeom>
                    <a:noFill/>
                    <a:ln>
                      <a:noFill/>
                    </a:ln>
                  </pic:spPr>
                </pic:pic>
              </a:graphicData>
            </a:graphic>
          </wp:inline>
        </w:drawing>
      </w:r>
    </w:p>
    <w:p w14:paraId="0175ADF4" w14:textId="1D99201F" w:rsidR="00B56AF6" w:rsidRDefault="00B56AF6" w:rsidP="00B56AF6">
      <w:pPr>
        <w:pStyle w:val="Caption"/>
      </w:pPr>
      <w:r>
        <w:t xml:space="preserve">Figure </w:t>
      </w:r>
      <w:r w:rsidR="00E46B62">
        <w:fldChar w:fldCharType="begin"/>
      </w:r>
      <w:r w:rsidR="00E46B62">
        <w:instrText xml:space="preserve"> SEQ Figure \* ARABIC </w:instrText>
      </w:r>
      <w:r w:rsidR="00E46B62">
        <w:fldChar w:fldCharType="separate"/>
      </w:r>
      <w:r w:rsidR="00231037">
        <w:rPr>
          <w:noProof/>
        </w:rPr>
        <w:t>5</w:t>
      </w:r>
      <w:r w:rsidR="00E46B62">
        <w:rPr>
          <w:noProof/>
        </w:rPr>
        <w:fldChar w:fldCharType="end"/>
      </w:r>
      <w:r>
        <w:t>.1 positive LOR and safe driving</w:t>
      </w:r>
    </w:p>
    <w:p w14:paraId="5AC21C34" w14:textId="1FB47277" w:rsidR="00DF0801" w:rsidRDefault="00EE2411" w:rsidP="00EE2411">
      <w:r w:rsidRPr="00EE2411">
        <w:t>In another test scenario, the system was evaluated using a frame in which the vehicle was crossing the lane boundary. In this situation, both visual and auditory warnings should be activated to alert the driver. As shown in Figure 5.2, the classical image processing algorithm successfully detected the lane markings, and the warning logic accurately identified the lane departure event. At this stage, a red visual warning is displayed on the image to indicate that a lane departure has occurred.</w:t>
      </w:r>
    </w:p>
    <w:p w14:paraId="5BF2B23A" w14:textId="77777777" w:rsidR="00EE2411" w:rsidRDefault="00EE2411" w:rsidP="00EE2411"/>
    <w:p w14:paraId="57195EC6" w14:textId="77777777" w:rsidR="00231037" w:rsidRDefault="00DF0801" w:rsidP="00231037">
      <w:pPr>
        <w:keepNext/>
        <w:jc w:val="center"/>
      </w:pPr>
      <w:r>
        <w:rPr>
          <w:noProof/>
        </w:rPr>
        <w:lastRenderedPageBreak/>
        <w:drawing>
          <wp:inline distT="0" distB="0" distL="0" distR="0" wp14:anchorId="1D518E64" wp14:editId="14360BC0">
            <wp:extent cx="3094283" cy="1604021"/>
            <wp:effectExtent l="0" t="0" r="0" b="0"/>
            <wp:docPr id="1661439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9163"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94283" cy="1604021"/>
                    </a:xfrm>
                    <a:prstGeom prst="rect">
                      <a:avLst/>
                    </a:prstGeom>
                    <a:noFill/>
                    <a:ln>
                      <a:noFill/>
                    </a:ln>
                  </pic:spPr>
                </pic:pic>
              </a:graphicData>
            </a:graphic>
          </wp:inline>
        </w:drawing>
      </w:r>
    </w:p>
    <w:p w14:paraId="7A674152" w14:textId="3A48FB34" w:rsidR="00DF0801" w:rsidRPr="00E900D2" w:rsidRDefault="00231037" w:rsidP="00231037">
      <w:pPr>
        <w:pStyle w:val="Caption"/>
      </w:pPr>
      <w:r>
        <w:t>Figure 5.2 Negative LOR and the visual warning</w:t>
      </w:r>
    </w:p>
    <w:p w14:paraId="23669E32" w14:textId="62B5234F" w:rsidR="00524D3A" w:rsidRDefault="005E595B" w:rsidP="005F236F">
      <w:pPr>
        <w:pStyle w:val="TL11"/>
        <w:numPr>
          <w:ilvl w:val="0"/>
          <w:numId w:val="0"/>
        </w:numPr>
      </w:pPr>
      <w:bookmarkStart w:id="14" w:name="_Toc228722653"/>
      <w:bookmarkStart w:id="15" w:name="_Toc228722717"/>
      <w:bookmarkStart w:id="16" w:name="OLE_LINK3"/>
      <w:r>
        <w:t>Conclusion</w:t>
      </w:r>
      <w:bookmarkEnd w:id="14"/>
      <w:bookmarkEnd w:id="15"/>
    </w:p>
    <w:bookmarkEnd w:id="16"/>
    <w:p w14:paraId="1F889BDD" w14:textId="77777777" w:rsidR="001266D7" w:rsidRPr="001266D7" w:rsidRDefault="001266D7" w:rsidP="001266D7">
      <w:r w:rsidRPr="001266D7">
        <w:t>This project successfully implemented a classical Vision-Based Lane Departure Warning system capable of detecting lane boundaries and identifying lane departure events using conventional image processing techniques. The developed pipeline integrates preprocessing, edge detection, region masking, Hough Transform-based line extraction, and warning logic based on the Lateral Offset Ratio (LOR) to create a complete lane monitoring framework.</w:t>
      </w:r>
    </w:p>
    <w:p w14:paraId="092F6E65" w14:textId="77777777" w:rsidR="001266D7" w:rsidRPr="001266D7" w:rsidRDefault="001266D7" w:rsidP="001266D7">
      <w:r w:rsidRPr="001266D7">
        <w:t>One of the major advantages of the implemented system is its simplicity and low computational complexity compared to deep learning-based alternatives. Since the proposed method does not require camera calibration or large-scale model training, it offers a practical and cost-effective solution for lightweight Advanced Driver Assistance Systems (ADAS) and real-time embedded platforms.</w:t>
      </w:r>
    </w:p>
    <w:p w14:paraId="7BAAD442" w14:textId="77777777" w:rsidR="001266D7" w:rsidRDefault="001266D7" w:rsidP="001266D7">
      <w:r w:rsidRPr="001266D7">
        <w:t>Despite these advantages, the system still faces challenges in highly complex environments, such as severe shadows, occlusions, worn lane markings, and rapidly changing lighting conditions. Future improvements may include adaptive thresholding, temporal lane tracking, sensor fusion, or hybrid approaches that combine classical computer vision with machine learning techniques to improve robustness and accuracy.</w:t>
      </w:r>
    </w:p>
    <w:p w14:paraId="393BCC89" w14:textId="77777777" w:rsidR="003C4900" w:rsidRDefault="003C4900" w:rsidP="003C4900">
      <w:r w:rsidRPr="003C4900">
        <w:t>At this stage, the proposed algorithms have been evaluated only on a limited number of frames. For a more comprehensive assessment, future testing should be conducted on larger datasets containing a wider variety of frames and driving scenarios. In addition, quantitative evaluation metrics such as Intersection over Union (</w:t>
      </w:r>
      <w:proofErr w:type="spellStart"/>
      <w:r w:rsidRPr="003C4900">
        <w:t>IoU</w:t>
      </w:r>
      <w:proofErr w:type="spellEnd"/>
      <w:r w:rsidRPr="003C4900">
        <w:t>) should be employed to measure detection performance more accurately. Further optimization of the internal algorithm parameters is also necessary to improve the overall robustness and accuracy of the system.</w:t>
      </w:r>
    </w:p>
    <w:p w14:paraId="639DD153" w14:textId="2056B3C8" w:rsidR="001266D7" w:rsidRPr="001266D7" w:rsidRDefault="001266D7" w:rsidP="003C4900">
      <w:r w:rsidRPr="001266D7">
        <w:t>In conclusion, the project demonstrates that traditional image processing algorithms can provide an effective foundation for lane departure warning systems and can serve as a strong baseline for future ADAS research and development.</w:t>
      </w:r>
    </w:p>
    <w:p w14:paraId="224AC376" w14:textId="77777777" w:rsidR="00B56AF6" w:rsidRDefault="00B56AF6" w:rsidP="00B56AF6"/>
    <w:sdt>
      <w:sdtPr>
        <w:rPr>
          <w:rFonts w:eastAsiaTheme="minorHAnsi" w:cstheme="minorBidi"/>
          <w:b w:val="0"/>
          <w:bCs w:val="0"/>
          <w:color w:val="auto"/>
          <w:sz w:val="20"/>
          <w:szCs w:val="22"/>
          <w:lang w:bidi="ar-SA"/>
        </w:rPr>
        <w:id w:val="417998103"/>
        <w:docPartObj>
          <w:docPartGallery w:val="Bibliographies"/>
          <w:docPartUnique/>
        </w:docPartObj>
      </w:sdtPr>
      <w:sdtEndPr/>
      <w:sdtContent>
        <w:p w14:paraId="22C416E9" w14:textId="6118B8C6" w:rsidR="000C36E5" w:rsidRDefault="000C36E5" w:rsidP="000C36E5">
          <w:pPr>
            <w:pStyle w:val="TL11"/>
            <w:numPr>
              <w:ilvl w:val="0"/>
              <w:numId w:val="0"/>
            </w:numPr>
          </w:pPr>
          <w:r>
            <w:t>References</w:t>
          </w:r>
        </w:p>
        <w:sdt>
          <w:sdtPr>
            <w:id w:val="-573587230"/>
            <w:bibliography/>
          </w:sdtPr>
          <w:sdtEndPr/>
          <w:sdtContent>
            <w:p w14:paraId="256F8C21" w14:textId="77777777" w:rsidR="00880CD4"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880CD4" w14:paraId="03F47B3C" w14:textId="77777777">
                <w:trPr>
                  <w:divId w:val="1121267069"/>
                  <w:tblCellSpacing w:w="15" w:type="dxa"/>
                </w:trPr>
                <w:tc>
                  <w:tcPr>
                    <w:tcW w:w="50" w:type="pct"/>
                    <w:hideMark/>
                  </w:tcPr>
                  <w:p w14:paraId="249F1E9F" w14:textId="4FE52955" w:rsidR="00880CD4" w:rsidRDefault="00880CD4">
                    <w:pPr>
                      <w:pStyle w:val="Bibliography"/>
                      <w:rPr>
                        <w:noProof/>
                        <w:sz w:val="24"/>
                        <w:szCs w:val="24"/>
                      </w:rPr>
                    </w:pPr>
                    <w:r>
                      <w:rPr>
                        <w:noProof/>
                      </w:rPr>
                      <w:lastRenderedPageBreak/>
                      <w:t xml:space="preserve">[1] </w:t>
                    </w:r>
                  </w:p>
                </w:tc>
                <w:tc>
                  <w:tcPr>
                    <w:tcW w:w="0" w:type="auto"/>
                    <w:hideMark/>
                  </w:tcPr>
                  <w:p w14:paraId="07668B23" w14:textId="77777777" w:rsidR="00880CD4" w:rsidRDefault="00880CD4">
                    <w:pPr>
                      <w:pStyle w:val="Bibliography"/>
                      <w:rPr>
                        <w:noProof/>
                      </w:rPr>
                    </w:pPr>
                    <w:r>
                      <w:rPr>
                        <w:noProof/>
                      </w:rPr>
                      <w:t>"Multi-Lane-Detection-Dataset-with-Ground-Truth, GitHub Repository," [Online]. Available: https://github.com/vonsj0210/Multi-Lane-Detection-Dataset-with-Ground-Truth. [Accessed May 2026].</w:t>
                    </w:r>
                  </w:p>
                </w:tc>
              </w:tr>
              <w:tr w:rsidR="00880CD4" w14:paraId="33B6B4BB" w14:textId="77777777">
                <w:trPr>
                  <w:divId w:val="1121267069"/>
                  <w:tblCellSpacing w:w="15" w:type="dxa"/>
                </w:trPr>
                <w:tc>
                  <w:tcPr>
                    <w:tcW w:w="50" w:type="pct"/>
                    <w:hideMark/>
                  </w:tcPr>
                  <w:p w14:paraId="55286524" w14:textId="77777777" w:rsidR="00880CD4" w:rsidRDefault="00880CD4">
                    <w:pPr>
                      <w:pStyle w:val="Bibliography"/>
                      <w:rPr>
                        <w:noProof/>
                      </w:rPr>
                    </w:pPr>
                    <w:r>
                      <w:rPr>
                        <w:noProof/>
                      </w:rPr>
                      <w:t xml:space="preserve">[2] </w:t>
                    </w:r>
                  </w:p>
                </w:tc>
                <w:tc>
                  <w:tcPr>
                    <w:tcW w:w="0" w:type="auto"/>
                    <w:hideMark/>
                  </w:tcPr>
                  <w:p w14:paraId="09BD06B3" w14:textId="77777777" w:rsidR="00880CD4" w:rsidRDefault="00880CD4">
                    <w:pPr>
                      <w:pStyle w:val="Bibliography"/>
                      <w:rPr>
                        <w:noProof/>
                      </w:rPr>
                    </w:pPr>
                    <w:r>
                      <w:rPr>
                        <w:noProof/>
                      </w:rPr>
                      <w:t>"Lane Dataset - Google Drive," [Online]. Available: https://drive.google.com/drive/folders/1iO6EUira1_irMHnEFjma3vc8LfYKHmQ4. [Accessed May 2026].</w:t>
                    </w:r>
                  </w:p>
                </w:tc>
              </w:tr>
              <w:tr w:rsidR="00880CD4" w14:paraId="71FB7ABA" w14:textId="77777777">
                <w:trPr>
                  <w:divId w:val="1121267069"/>
                  <w:tblCellSpacing w:w="15" w:type="dxa"/>
                </w:trPr>
                <w:tc>
                  <w:tcPr>
                    <w:tcW w:w="50" w:type="pct"/>
                    <w:hideMark/>
                  </w:tcPr>
                  <w:p w14:paraId="03402A27" w14:textId="77777777" w:rsidR="00880CD4" w:rsidRDefault="00880CD4">
                    <w:pPr>
                      <w:pStyle w:val="Bibliography"/>
                      <w:rPr>
                        <w:noProof/>
                      </w:rPr>
                    </w:pPr>
                    <w:r>
                      <w:rPr>
                        <w:noProof/>
                      </w:rPr>
                      <w:t xml:space="preserve">[3] </w:t>
                    </w:r>
                  </w:p>
                </w:tc>
                <w:tc>
                  <w:tcPr>
                    <w:tcW w:w="0" w:type="auto"/>
                    <w:hideMark/>
                  </w:tcPr>
                  <w:p w14:paraId="4F9DC0D5" w14:textId="77777777" w:rsidR="00880CD4" w:rsidRDefault="00880CD4">
                    <w:pPr>
                      <w:pStyle w:val="Bibliography"/>
                      <w:rPr>
                        <w:noProof/>
                      </w:rPr>
                    </w:pPr>
                    <w:r>
                      <w:rPr>
                        <w:noProof/>
                      </w:rPr>
                      <w:t>"Euro NCAP LSS Test Protocol v4.2," [Online]. Available: https://cdn.euroncap.com/cars/assets/euro_ncap_lss_test_protocol_v42_bfc543c53f.pdf. [Accessed May 2026].</w:t>
                    </w:r>
                  </w:p>
                </w:tc>
              </w:tr>
              <w:tr w:rsidR="00880CD4" w14:paraId="6E0A959C" w14:textId="77777777">
                <w:trPr>
                  <w:divId w:val="1121267069"/>
                  <w:tblCellSpacing w:w="15" w:type="dxa"/>
                </w:trPr>
                <w:tc>
                  <w:tcPr>
                    <w:tcW w:w="50" w:type="pct"/>
                    <w:hideMark/>
                  </w:tcPr>
                  <w:p w14:paraId="57A03020" w14:textId="77777777" w:rsidR="00880CD4" w:rsidRDefault="00880CD4">
                    <w:pPr>
                      <w:pStyle w:val="Bibliography"/>
                      <w:rPr>
                        <w:noProof/>
                      </w:rPr>
                    </w:pPr>
                    <w:r>
                      <w:rPr>
                        <w:noProof/>
                      </w:rPr>
                      <w:t xml:space="preserve">[4] </w:t>
                    </w:r>
                  </w:p>
                </w:tc>
                <w:tc>
                  <w:tcPr>
                    <w:tcW w:w="0" w:type="auto"/>
                    <w:hideMark/>
                  </w:tcPr>
                  <w:p w14:paraId="37630D86" w14:textId="77777777" w:rsidR="00880CD4" w:rsidRDefault="00880CD4">
                    <w:pPr>
                      <w:pStyle w:val="Bibliography"/>
                      <w:rPr>
                        <w:noProof/>
                      </w:rPr>
                    </w:pPr>
                    <w:r>
                      <w:rPr>
                        <w:noProof/>
                      </w:rPr>
                      <w:t>V. Vignesh, "towardsai," 17 July 2023. [Online]. Available: https://towardsai.net/p/l/gaussian-blurring-a-gentle-introduction.</w:t>
                    </w:r>
                  </w:p>
                </w:tc>
              </w:tr>
              <w:tr w:rsidR="00880CD4" w14:paraId="09A5689C" w14:textId="77777777">
                <w:trPr>
                  <w:divId w:val="1121267069"/>
                  <w:tblCellSpacing w:w="15" w:type="dxa"/>
                </w:trPr>
                <w:tc>
                  <w:tcPr>
                    <w:tcW w:w="50" w:type="pct"/>
                    <w:hideMark/>
                  </w:tcPr>
                  <w:p w14:paraId="271A69E6" w14:textId="77777777" w:rsidR="00880CD4" w:rsidRDefault="00880CD4">
                    <w:pPr>
                      <w:pStyle w:val="Bibliography"/>
                      <w:rPr>
                        <w:noProof/>
                      </w:rPr>
                    </w:pPr>
                    <w:r>
                      <w:rPr>
                        <w:noProof/>
                      </w:rPr>
                      <w:t xml:space="preserve">[5] </w:t>
                    </w:r>
                  </w:p>
                </w:tc>
                <w:tc>
                  <w:tcPr>
                    <w:tcW w:w="0" w:type="auto"/>
                    <w:hideMark/>
                  </w:tcPr>
                  <w:p w14:paraId="3B5D6982" w14:textId="77777777" w:rsidR="00880CD4" w:rsidRDefault="00880CD4">
                    <w:pPr>
                      <w:pStyle w:val="Bibliography"/>
                      <w:rPr>
                        <w:noProof/>
                      </w:rPr>
                    </w:pPr>
                    <w:r>
                      <w:rPr>
                        <w:noProof/>
                      </w:rPr>
                      <w:t>Z. Ansari, "Medium," 11 May 2025. [Online]. Available: https://medium.com/@zar_373/the-canny-edge-detector-mathematical-foundations-and-implementation-of-a-computer-vision-c47e83d6e792.</w:t>
                    </w:r>
                  </w:p>
                </w:tc>
              </w:tr>
              <w:tr w:rsidR="00880CD4" w14:paraId="3553E6B0" w14:textId="77777777">
                <w:trPr>
                  <w:divId w:val="1121267069"/>
                  <w:tblCellSpacing w:w="15" w:type="dxa"/>
                </w:trPr>
                <w:tc>
                  <w:tcPr>
                    <w:tcW w:w="50" w:type="pct"/>
                    <w:hideMark/>
                  </w:tcPr>
                  <w:p w14:paraId="29AAEDFB" w14:textId="77777777" w:rsidR="00880CD4" w:rsidRDefault="00880CD4">
                    <w:pPr>
                      <w:pStyle w:val="Bibliography"/>
                      <w:rPr>
                        <w:noProof/>
                      </w:rPr>
                    </w:pPr>
                    <w:r>
                      <w:rPr>
                        <w:noProof/>
                      </w:rPr>
                      <w:t xml:space="preserve">[6] </w:t>
                    </w:r>
                  </w:p>
                </w:tc>
                <w:tc>
                  <w:tcPr>
                    <w:tcW w:w="0" w:type="auto"/>
                    <w:hideMark/>
                  </w:tcPr>
                  <w:p w14:paraId="1D7890B3" w14:textId="77777777" w:rsidR="00880CD4" w:rsidRDefault="00880CD4">
                    <w:pPr>
                      <w:pStyle w:val="Bibliography"/>
                      <w:rPr>
                        <w:noProof/>
                      </w:rPr>
                    </w:pPr>
                    <w:r>
                      <w:rPr>
                        <w:noProof/>
                      </w:rPr>
                      <w:t>Shantanuparab, "Medium," 23 May 2023. [Online]. Available: https://medium.com/@shantanuparab99/hough-transform-3e5f6875b9b8.</w:t>
                    </w:r>
                  </w:p>
                </w:tc>
              </w:tr>
              <w:tr w:rsidR="00880CD4" w14:paraId="011BDFFF" w14:textId="77777777">
                <w:trPr>
                  <w:divId w:val="1121267069"/>
                  <w:tblCellSpacing w:w="15" w:type="dxa"/>
                </w:trPr>
                <w:tc>
                  <w:tcPr>
                    <w:tcW w:w="50" w:type="pct"/>
                    <w:hideMark/>
                  </w:tcPr>
                  <w:p w14:paraId="6EC5C899" w14:textId="77777777" w:rsidR="00880CD4" w:rsidRDefault="00880CD4">
                    <w:pPr>
                      <w:pStyle w:val="Bibliography"/>
                      <w:rPr>
                        <w:noProof/>
                      </w:rPr>
                    </w:pPr>
                    <w:r>
                      <w:rPr>
                        <w:noProof/>
                      </w:rPr>
                      <w:t xml:space="preserve">[7] </w:t>
                    </w:r>
                  </w:p>
                </w:tc>
                <w:tc>
                  <w:tcPr>
                    <w:tcW w:w="0" w:type="auto"/>
                    <w:hideMark/>
                  </w:tcPr>
                  <w:p w14:paraId="34AD8D8B" w14:textId="77777777" w:rsidR="00880CD4" w:rsidRDefault="00880CD4">
                    <w:pPr>
                      <w:pStyle w:val="Bibliography"/>
                      <w:rPr>
                        <w:noProof/>
                      </w:rPr>
                    </w:pPr>
                    <w:r>
                      <w:rPr>
                        <w:noProof/>
                      </w:rPr>
                      <w:t xml:space="preserve">J. Wu, P. Yin, X. Shu, H. Huang, F. Liu and Q. Wu, "A Vision-based Lane Departure Warning Framework," </w:t>
                    </w:r>
                    <w:r>
                      <w:rPr>
                        <w:i/>
                        <w:iCs/>
                        <w:noProof/>
                      </w:rPr>
                      <w:t xml:space="preserve">2021 IEEE International Conference on e-Business Engineering (ICEBE), </w:t>
                    </w:r>
                    <w:r>
                      <w:rPr>
                        <w:noProof/>
                      </w:rPr>
                      <w:t xml:space="preserve">pp. pp. 139-143, 2021. </w:t>
                    </w:r>
                  </w:p>
                </w:tc>
              </w:tr>
              <w:tr w:rsidR="00880CD4" w14:paraId="191F47EA" w14:textId="77777777">
                <w:trPr>
                  <w:divId w:val="1121267069"/>
                  <w:tblCellSpacing w:w="15" w:type="dxa"/>
                </w:trPr>
                <w:tc>
                  <w:tcPr>
                    <w:tcW w:w="50" w:type="pct"/>
                    <w:hideMark/>
                  </w:tcPr>
                  <w:p w14:paraId="256CEC97" w14:textId="77777777" w:rsidR="00880CD4" w:rsidRDefault="00880CD4">
                    <w:pPr>
                      <w:pStyle w:val="Bibliography"/>
                      <w:rPr>
                        <w:noProof/>
                      </w:rPr>
                    </w:pPr>
                    <w:r>
                      <w:rPr>
                        <w:noProof/>
                      </w:rPr>
                      <w:t xml:space="preserve">[8] </w:t>
                    </w:r>
                  </w:p>
                </w:tc>
                <w:tc>
                  <w:tcPr>
                    <w:tcW w:w="0" w:type="auto"/>
                    <w:hideMark/>
                  </w:tcPr>
                  <w:p w14:paraId="5EBD241D" w14:textId="77777777" w:rsidR="00880CD4" w:rsidRDefault="00880CD4">
                    <w:pPr>
                      <w:pStyle w:val="Bibliography"/>
                      <w:rPr>
                        <w:noProof/>
                      </w:rPr>
                    </w:pPr>
                    <w:r>
                      <w:rPr>
                        <w:noProof/>
                      </w:rPr>
                      <w:t xml:space="preserve">E. P. Ping, "Data fusion based lane departure warning framework using," Malaysia, 2022. </w:t>
                    </w:r>
                  </w:p>
                </w:tc>
              </w:tr>
              <w:tr w:rsidR="00880CD4" w14:paraId="105DD2B1" w14:textId="77777777">
                <w:trPr>
                  <w:divId w:val="1121267069"/>
                  <w:tblCellSpacing w:w="15" w:type="dxa"/>
                </w:trPr>
                <w:tc>
                  <w:tcPr>
                    <w:tcW w:w="50" w:type="pct"/>
                    <w:hideMark/>
                  </w:tcPr>
                  <w:p w14:paraId="60168FDB" w14:textId="77777777" w:rsidR="00880CD4" w:rsidRDefault="00880CD4">
                    <w:pPr>
                      <w:pStyle w:val="Bibliography"/>
                      <w:rPr>
                        <w:noProof/>
                      </w:rPr>
                    </w:pPr>
                    <w:r>
                      <w:rPr>
                        <w:noProof/>
                      </w:rPr>
                      <w:t xml:space="preserve">[9] </w:t>
                    </w:r>
                  </w:p>
                </w:tc>
                <w:tc>
                  <w:tcPr>
                    <w:tcW w:w="0" w:type="auto"/>
                    <w:hideMark/>
                  </w:tcPr>
                  <w:p w14:paraId="5C99B912" w14:textId="77777777" w:rsidR="00880CD4" w:rsidRDefault="00880CD4">
                    <w:pPr>
                      <w:pStyle w:val="Bibliography"/>
                      <w:rPr>
                        <w:noProof/>
                      </w:rPr>
                    </w:pPr>
                    <w:r>
                      <w:rPr>
                        <w:i/>
                        <w:iCs/>
                        <w:noProof/>
                      </w:rPr>
                      <w:t>Intelligent transport systems — Lane departure warning systems — Performance requirements and test procedures ISO17361.</w:t>
                    </w:r>
                  </w:p>
                </w:tc>
              </w:tr>
            </w:tbl>
            <w:p w14:paraId="7A687A08" w14:textId="77777777" w:rsidR="00880CD4" w:rsidRDefault="00880CD4">
              <w:pPr>
                <w:divId w:val="1121267069"/>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7" w:name="_Toc228722655"/>
      <w:bookmarkStart w:id="18" w:name="_Toc228722719"/>
      <w:r>
        <w:t>Appendices</w:t>
      </w:r>
      <w:bookmarkEnd w:id="17"/>
      <w:bookmarkEnd w:id="18"/>
    </w:p>
    <w:sectPr w:rsidR="00FB4BFC" w:rsidSect="009836FA">
      <w:headerReference w:type="default" r:id="rId28"/>
      <w:footerReference w:type="default" r:id="rId29"/>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63CE1" w14:textId="77777777" w:rsidR="00E46B62" w:rsidRDefault="00E46B62" w:rsidP="0075302F">
      <w:pPr>
        <w:spacing w:after="0"/>
      </w:pPr>
      <w:r>
        <w:separator/>
      </w:r>
    </w:p>
  </w:endnote>
  <w:endnote w:type="continuationSeparator" w:id="0">
    <w:p w14:paraId="6A80D4DA" w14:textId="77777777" w:rsidR="00E46B62" w:rsidRDefault="00E46B62"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2386B" w14:textId="77777777" w:rsidR="00E46B62" w:rsidRDefault="00E46B62" w:rsidP="0075302F">
      <w:pPr>
        <w:spacing w:after="0"/>
      </w:pPr>
      <w:r>
        <w:separator/>
      </w:r>
    </w:p>
  </w:footnote>
  <w:footnote w:type="continuationSeparator" w:id="0">
    <w:p w14:paraId="3098B6B9" w14:textId="77777777" w:rsidR="00E46B62" w:rsidRDefault="00E46B62"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7"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9147E"/>
    <w:multiLevelType w:val="multilevel"/>
    <w:tmpl w:val="B3CE65C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1"/>
  </w:num>
  <w:num w:numId="3">
    <w:abstractNumId w:val="20"/>
  </w:num>
  <w:num w:numId="4">
    <w:abstractNumId w:val="5"/>
  </w:num>
  <w:num w:numId="5">
    <w:abstractNumId w:val="0"/>
  </w:num>
  <w:num w:numId="6">
    <w:abstractNumId w:val="13"/>
  </w:num>
  <w:num w:numId="7">
    <w:abstractNumId w:val="3"/>
  </w:num>
  <w:num w:numId="8">
    <w:abstractNumId w:val="12"/>
  </w:num>
  <w:num w:numId="9">
    <w:abstractNumId w:val="34"/>
  </w:num>
  <w:num w:numId="10">
    <w:abstractNumId w:val="22"/>
  </w:num>
  <w:num w:numId="11">
    <w:abstractNumId w:val="15"/>
  </w:num>
  <w:num w:numId="12">
    <w:abstractNumId w:val="18"/>
  </w:num>
  <w:num w:numId="13">
    <w:abstractNumId w:val="30"/>
  </w:num>
  <w:num w:numId="14">
    <w:abstractNumId w:val="17"/>
  </w:num>
  <w:num w:numId="15">
    <w:abstractNumId w:val="6"/>
  </w:num>
  <w:num w:numId="16">
    <w:abstractNumId w:val="26"/>
  </w:num>
  <w:num w:numId="17">
    <w:abstractNumId w:val="4"/>
  </w:num>
  <w:num w:numId="18">
    <w:abstractNumId w:val="21"/>
  </w:num>
  <w:num w:numId="19">
    <w:abstractNumId w:val="29"/>
  </w:num>
  <w:num w:numId="20">
    <w:abstractNumId w:val="8"/>
  </w:num>
  <w:num w:numId="21">
    <w:abstractNumId w:val="19"/>
  </w:num>
  <w:num w:numId="22">
    <w:abstractNumId w:val="16"/>
  </w:num>
  <w:num w:numId="23">
    <w:abstractNumId w:val="32"/>
  </w:num>
  <w:num w:numId="24">
    <w:abstractNumId w:val="7"/>
  </w:num>
  <w:num w:numId="25">
    <w:abstractNumId w:val="23"/>
  </w:num>
  <w:num w:numId="26">
    <w:abstractNumId w:val="31"/>
  </w:num>
  <w:num w:numId="27">
    <w:abstractNumId w:val="9"/>
  </w:num>
  <w:num w:numId="28">
    <w:abstractNumId w:val="2"/>
  </w:num>
  <w:num w:numId="29">
    <w:abstractNumId w:val="33"/>
  </w:num>
  <w:num w:numId="30">
    <w:abstractNumId w:val="25"/>
  </w:num>
  <w:num w:numId="31">
    <w:abstractNumId w:val="1"/>
  </w:num>
  <w:num w:numId="32">
    <w:abstractNumId w:val="10"/>
  </w:num>
  <w:num w:numId="33">
    <w:abstractNumId w:val="24"/>
  </w:num>
  <w:num w:numId="34">
    <w:abstractNumId w:val="27"/>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B70"/>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7D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0A3"/>
    <w:rsid w:val="0012247E"/>
    <w:rsid w:val="001226DF"/>
    <w:rsid w:val="00122899"/>
    <w:rsid w:val="00123735"/>
    <w:rsid w:val="001239CA"/>
    <w:rsid w:val="00123D38"/>
    <w:rsid w:val="00123FFC"/>
    <w:rsid w:val="001243F0"/>
    <w:rsid w:val="001255BE"/>
    <w:rsid w:val="00125AF3"/>
    <w:rsid w:val="00125B3B"/>
    <w:rsid w:val="001266D7"/>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0F"/>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300"/>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D7999"/>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037"/>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642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49FC"/>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6B8"/>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49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B1E"/>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CEA"/>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4F4"/>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1FC1"/>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AB0"/>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832"/>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461"/>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47CF7"/>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B7D04"/>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07EF6"/>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6E94"/>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2295"/>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C4A"/>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1FB9"/>
    <w:rsid w:val="0073258E"/>
    <w:rsid w:val="00732FB5"/>
    <w:rsid w:val="00733560"/>
    <w:rsid w:val="007342E3"/>
    <w:rsid w:val="00734AEA"/>
    <w:rsid w:val="00735C54"/>
    <w:rsid w:val="00736621"/>
    <w:rsid w:val="00736EB1"/>
    <w:rsid w:val="007372FC"/>
    <w:rsid w:val="00737F60"/>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5C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0CD4"/>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C7E4A"/>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844"/>
    <w:rsid w:val="008E7D19"/>
    <w:rsid w:val="008F00C0"/>
    <w:rsid w:val="008F02A0"/>
    <w:rsid w:val="008F0920"/>
    <w:rsid w:val="008F0AD7"/>
    <w:rsid w:val="008F1FD9"/>
    <w:rsid w:val="008F247E"/>
    <w:rsid w:val="008F26B4"/>
    <w:rsid w:val="008F36CC"/>
    <w:rsid w:val="008F41F9"/>
    <w:rsid w:val="008F441A"/>
    <w:rsid w:val="008F4511"/>
    <w:rsid w:val="008F55A7"/>
    <w:rsid w:val="008F5AA6"/>
    <w:rsid w:val="008F5C5C"/>
    <w:rsid w:val="008F6337"/>
    <w:rsid w:val="008F78CE"/>
    <w:rsid w:val="008F7C8C"/>
    <w:rsid w:val="009003C1"/>
    <w:rsid w:val="00900D58"/>
    <w:rsid w:val="00901663"/>
    <w:rsid w:val="0090243E"/>
    <w:rsid w:val="00902A41"/>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86784"/>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34A"/>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BFC"/>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7A3"/>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AF6"/>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0D"/>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0207"/>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1FA0"/>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A0A"/>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6E2"/>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5"/>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BAF"/>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0801"/>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215"/>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B6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19A"/>
    <w:rsid w:val="00E868A6"/>
    <w:rsid w:val="00E87129"/>
    <w:rsid w:val="00E90053"/>
    <w:rsid w:val="00E900D2"/>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97DE1"/>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2411"/>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15EEA"/>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2B7D"/>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0764043">
      <w:bodyDiv w:val="1"/>
      <w:marLeft w:val="0"/>
      <w:marRight w:val="0"/>
      <w:marTop w:val="0"/>
      <w:marBottom w:val="0"/>
      <w:divBdr>
        <w:top w:val="none" w:sz="0" w:space="0" w:color="auto"/>
        <w:left w:val="none" w:sz="0" w:space="0" w:color="auto"/>
        <w:bottom w:val="none" w:sz="0" w:space="0" w:color="auto"/>
        <w:right w:val="none" w:sz="0" w:space="0" w:color="auto"/>
      </w:divBdr>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34103165">
      <w:bodyDiv w:val="1"/>
      <w:marLeft w:val="0"/>
      <w:marRight w:val="0"/>
      <w:marTop w:val="0"/>
      <w:marBottom w:val="0"/>
      <w:divBdr>
        <w:top w:val="none" w:sz="0" w:space="0" w:color="auto"/>
        <w:left w:val="none" w:sz="0" w:space="0" w:color="auto"/>
        <w:bottom w:val="none" w:sz="0" w:space="0" w:color="auto"/>
        <w:right w:val="none" w:sz="0" w:space="0" w:color="auto"/>
      </w:divBdr>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5381472">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179388">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2646">
      <w:bodyDiv w:val="1"/>
      <w:marLeft w:val="0"/>
      <w:marRight w:val="0"/>
      <w:marTop w:val="0"/>
      <w:marBottom w:val="0"/>
      <w:divBdr>
        <w:top w:val="none" w:sz="0" w:space="0" w:color="auto"/>
        <w:left w:val="none" w:sz="0" w:space="0" w:color="auto"/>
        <w:bottom w:val="none" w:sz="0" w:space="0" w:color="auto"/>
        <w:right w:val="none" w:sz="0" w:space="0" w:color="auto"/>
      </w:divBdr>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8667">
      <w:bodyDiv w:val="1"/>
      <w:marLeft w:val="0"/>
      <w:marRight w:val="0"/>
      <w:marTop w:val="0"/>
      <w:marBottom w:val="0"/>
      <w:divBdr>
        <w:top w:val="none" w:sz="0" w:space="0" w:color="auto"/>
        <w:left w:val="none" w:sz="0" w:space="0" w:color="auto"/>
        <w:bottom w:val="none" w:sz="0" w:space="0" w:color="auto"/>
        <w:right w:val="none" w:sz="0" w:space="0" w:color="auto"/>
      </w:divBdr>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6826861">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76945984">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064">
      <w:bodyDiv w:val="1"/>
      <w:marLeft w:val="0"/>
      <w:marRight w:val="0"/>
      <w:marTop w:val="0"/>
      <w:marBottom w:val="0"/>
      <w:divBdr>
        <w:top w:val="none" w:sz="0" w:space="0" w:color="auto"/>
        <w:left w:val="none" w:sz="0" w:space="0" w:color="auto"/>
        <w:bottom w:val="none" w:sz="0" w:space="0" w:color="auto"/>
        <w:right w:val="none" w:sz="0" w:space="0" w:color="auto"/>
      </w:divBdr>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894320250">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67802386">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87070820">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456167">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223110">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126706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72258021">
      <w:bodyDiv w:val="1"/>
      <w:marLeft w:val="0"/>
      <w:marRight w:val="0"/>
      <w:marTop w:val="0"/>
      <w:marBottom w:val="0"/>
      <w:divBdr>
        <w:top w:val="none" w:sz="0" w:space="0" w:color="auto"/>
        <w:left w:val="none" w:sz="0" w:space="0" w:color="auto"/>
        <w:bottom w:val="none" w:sz="0" w:space="0" w:color="auto"/>
        <w:right w:val="none" w:sz="0" w:space="0" w:color="auto"/>
      </w:divBdr>
    </w:div>
    <w:div w:id="1177813434">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0551">
      <w:bodyDiv w:val="1"/>
      <w:marLeft w:val="0"/>
      <w:marRight w:val="0"/>
      <w:marTop w:val="0"/>
      <w:marBottom w:val="0"/>
      <w:divBdr>
        <w:top w:val="none" w:sz="0" w:space="0" w:color="auto"/>
        <w:left w:val="none" w:sz="0" w:space="0" w:color="auto"/>
        <w:bottom w:val="none" w:sz="0" w:space="0" w:color="auto"/>
        <w:right w:val="none" w:sz="0" w:space="0" w:color="auto"/>
      </w:divBdr>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0932954">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387290666">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08726703">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05267376">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3648006">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79251222">
      <w:bodyDiv w:val="1"/>
      <w:marLeft w:val="0"/>
      <w:marRight w:val="0"/>
      <w:marTop w:val="0"/>
      <w:marBottom w:val="0"/>
      <w:divBdr>
        <w:top w:val="none" w:sz="0" w:space="0" w:color="auto"/>
        <w:left w:val="none" w:sz="0" w:space="0" w:color="auto"/>
        <w:bottom w:val="none" w:sz="0" w:space="0" w:color="auto"/>
        <w:right w:val="none" w:sz="0" w:space="0" w:color="auto"/>
      </w:divBdr>
    </w:div>
    <w:div w:id="1781996765">
      <w:bodyDiv w:val="1"/>
      <w:marLeft w:val="0"/>
      <w:marRight w:val="0"/>
      <w:marTop w:val="0"/>
      <w:marBottom w:val="0"/>
      <w:divBdr>
        <w:top w:val="none" w:sz="0" w:space="0" w:color="auto"/>
        <w:left w:val="none" w:sz="0" w:space="0" w:color="auto"/>
        <w:bottom w:val="none" w:sz="0" w:space="0" w:color="auto"/>
        <w:right w:val="none" w:sz="0" w:space="0" w:color="auto"/>
      </w:divBdr>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177842">
      <w:bodyDiv w:val="1"/>
      <w:marLeft w:val="0"/>
      <w:marRight w:val="0"/>
      <w:marTop w:val="0"/>
      <w:marBottom w:val="0"/>
      <w:divBdr>
        <w:top w:val="none" w:sz="0" w:space="0" w:color="auto"/>
        <w:left w:val="none" w:sz="0" w:space="0" w:color="auto"/>
        <w:bottom w:val="none" w:sz="0" w:space="0" w:color="auto"/>
        <w:right w:val="none" w:sz="0" w:space="0" w:color="auto"/>
      </w:divBdr>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71745861">
      <w:bodyDiv w:val="1"/>
      <w:marLeft w:val="0"/>
      <w:marRight w:val="0"/>
      <w:marTop w:val="0"/>
      <w:marBottom w:val="0"/>
      <w:divBdr>
        <w:top w:val="none" w:sz="0" w:space="0" w:color="auto"/>
        <w:left w:val="none" w:sz="0" w:space="0" w:color="auto"/>
        <w:bottom w:val="none" w:sz="0" w:space="0" w:color="auto"/>
        <w:right w:val="none" w:sz="0" w:space="0" w:color="auto"/>
      </w:divBdr>
    </w:div>
    <w:div w:id="1981887510">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47638606">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0877800">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
    <b:Tag>JWu21</b:Tag>
    <b:SourceType>JournalArticle</b:SourceType>
    <b:Guid>{548E1127-933E-489B-AD29-F8F91218C8E3}</b:Guid>
    <b:Author>
      <b:Author>
        <b:Corporate>J. Wu, P. Yin, X. Shu, H. Huang, F. Liu and Q. Wu</b:Corporate>
      </b:Author>
    </b:Author>
    <b:Title>A Vision-based Lane Departure Warning Framework</b:Title>
    <b:JournalName>2021 IEEE International Conference on e-Business Engineering (ICEBE)</b:JournalName>
    <b:Year>2021</b:Year>
    <b:Pages>pp. 139-143</b:Pages>
    <b:RefOrder>7</b:RefOrder>
  </b:Source>
  <b:Source>
    <b:Tag>Pin22</b:Tag>
    <b:SourceType>ConferenceProceedings</b:SourceType>
    <b:Guid>{E2804579-2AC1-4ED8-9975-79A0F6A67C59}</b:Guid>
    <b:Author>
      <b:Author>
        <b:NameList>
          <b:Person>
            <b:Last>Ping</b:Last>
            <b:First>Em</b:First>
            <b:Middle>Poh</b:Middle>
          </b:Person>
        </b:NameList>
      </b:Author>
    </b:Author>
    <b:Title>Data fusion based lane departure warning framework using</b:Title>
    <b:Year>2022</b:Year>
    <b:City>Malaysia</b:City>
    <b:RefOrder>8</b:RefOrder>
  </b:Source>
  <b:Source>
    <b:Tag>Int</b:Tag>
    <b:SourceType>Case</b:SourceType>
    <b:Guid>{97383BA0-3CE8-4920-B1EF-47F51A8E7D90}</b:Guid>
    <b:Title>Intelligent transport systems — Lane departure warning systems — Performance requirements and test procedures ISO17361</b:Title>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BFE5EB-3F16-4948-9C34-2B4D8BB1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2494</TotalTime>
  <Pages>15</Pages>
  <Words>3452</Words>
  <Characters>19678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Modern</cp:lastModifiedBy>
  <cp:revision>5080</cp:revision>
  <cp:lastPrinted>2026-05-17T08:19:00Z</cp:lastPrinted>
  <dcterms:created xsi:type="dcterms:W3CDTF">2026-04-29T04:36:00Z</dcterms:created>
  <dcterms:modified xsi:type="dcterms:W3CDTF">2026-05-17T10:31:00Z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