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9: Inheritance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b w:val="1"/>
          <w:i w:val="1"/>
          <w:color w:val="ff9900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 1: Creating Superclasses and Subclasses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320"/>
        <w:gridCol w:w="1095"/>
        <w:gridCol w:w="4290"/>
        <w:tblGridChange w:id="0">
          <w:tblGrid>
            <w:gridCol w:w="1095"/>
            <w:gridCol w:w="4320"/>
            <w:gridCol w:w="1095"/>
            <w:gridCol w:w="4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2805"/>
        <w:tblGridChange w:id="0">
          <w:tblGrid>
            <w:gridCol w:w="7995"/>
            <w:gridCol w:w="28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Oswald" w:cs="Oswald" w:eastAsia="Oswald" w:hAnsi="Oswald"/>
                <w:sz w:val="32"/>
                <w:szCs w:val="32"/>
              </w:rPr>
            </w:pP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Vehicles, Cars &amp; Bicycles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IntelliJ project and download the following classes from today's demo: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Vehicle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Car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VehicleRunner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Similar to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subclass, write a new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Bicycle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inherits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extends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Vehicle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and has the following additional behavior: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Bicycles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ring bells (i.e. a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ringBell()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method) -- for this method, simply add a print statement that prints a sentence to indicate the method has been called.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the following additional attribute: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Bicycles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“gear count” (i.e. a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gearCount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instance variable that is an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1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 this as an attribute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 a getter method for it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Don't forget to call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Bicycle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constructor!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add some test code to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VehicleRunner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to create a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Bicycle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methods on that object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addition to the constructor, there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methods you can call).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Copy/paste your code below: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Bicycle class: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VehicleRunner code that you added to call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 Bicycle methods: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6"/>
        <w:spacing w:before="0" w:lineRule="auto"/>
        <w:jc w:val="right"/>
        <w:rPr>
          <w:sz w:val="18"/>
          <w:szCs w:val="18"/>
        </w:rPr>
      </w:pPr>
      <w:bookmarkStart w:colFirst="0" w:colLast="0" w:name="_8erbtyz6u70k" w:id="0"/>
      <w:bookmarkEnd w:id="0"/>
      <w:hyperlink w:anchor="_iptj863a609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Sample Bicycle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spacing w:before="0" w:lineRule="auto"/>
        <w:jc w:val="right"/>
        <w:rPr>
          <w:sz w:val="18"/>
          <w:szCs w:val="18"/>
        </w:rPr>
      </w:pPr>
      <w:bookmarkStart w:colFirst="0" w:colLast="0" w:name="_7crg2895x9ha" w:id="1"/>
      <w:bookmarkEnd w:id="1"/>
      <w:hyperlink w:anchor="_97vpq1avnbre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Sample runner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4995"/>
        <w:tblGridChange w:id="0">
          <w:tblGrid>
            <w:gridCol w:w="580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The Vehicle-Car-Bicycle Hierarchy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your Bicycle subclass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UML class diagram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the inheritance hierarchy: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170.0" w:type="dxa"/>
              <w:jc w:val="left"/>
              <w:tblInd w:w="33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0"/>
              <w:tblGridChange w:id="0">
                <w:tblGrid>
                  <w:gridCol w:w="41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Vehicle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name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wheels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getName()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getWheels()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move(int distance)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turn(int degreesToTurn)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brake(double brakePercent)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409850" y="632150"/>
                                <a:ext cx="249000" cy="469500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00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433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409850" y="632150"/>
                                <a:ext cx="249000" cy="469500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00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433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95.0" w:type="dxa"/>
              <w:jc w:val="left"/>
              <w:tblInd w:w="12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75"/>
              <w:gridCol w:w="1695"/>
              <w:gridCol w:w="3525"/>
              <w:tblGridChange w:id="0">
                <w:tblGrid>
                  <w:gridCol w:w="3375"/>
                  <w:gridCol w:w="1695"/>
                  <w:gridCol w:w="35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Car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fabric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getFabric()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honk()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lockDoors()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Style w:val="Heading6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uqn65z3p6ehq" w:id="2"/>
            <w:bookmarkEnd w:id="2"/>
            <w:hyperlink w:anchor="_we9usluo6g1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each of these statements true or false?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Bicycle is a Vehicle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Vehicle is a Bicycle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Bicycle inherits from Vehicle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Bicycle is a subclass (child class) of Vehicle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Bicycle extends Vehicle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is the superclass (parent class) of both </w:t>
            </w:r>
            <w:r w:rsidDel="00000000" w:rsidR="00000000" w:rsidRPr="00000000">
              <w:rPr>
                <w:rtl w:val="0"/>
              </w:rPr>
              <w:t xml:space="preserve">Bicycle and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f. </w:t>
            </w:r>
          </w:p>
          <w:p w:rsidR="00000000" w:rsidDel="00000000" w:rsidP="00000000" w:rsidRDefault="00000000" w:rsidRPr="00000000" w14:paraId="00000056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bookmarkStart w:colFirst="0" w:colLast="0" w:name="_bbhue78k2sdh" w:id="3"/>
            <w:bookmarkEnd w:id="3"/>
            <w:hyperlink w:anchor="_8e3yu364k49g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4875"/>
        <w:tblGridChange w:id="0">
          <w:tblGrid>
            <w:gridCol w:w="5925"/>
            <w:gridCol w:w="4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PREDICT: </w:t>
            </w:r>
            <w:r w:rsidDel="00000000" w:rsidR="00000000" w:rsidRPr="00000000">
              <w:rPr>
                <w:color w:val="99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Which of these lines of code, if added to the bottom of all test code in VehicleRunner, will cause compiler errors?  In other words, which are </w:t>
            </w:r>
            <w:r w:rsidDel="00000000" w:rsidR="00000000" w:rsidRPr="00000000">
              <w:rPr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valid method calls?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myVehicle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.ringBell();                          //line 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System.out.println(myVehicle.getGearCount());  //line 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myCar.ringBell();                              //line 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myBike.honk();                                 //line 4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myBike.lockDoors();                            //line 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line(s) do you think will cause problems?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TEST your prediction! </w:t>
            </w:r>
            <w:r w:rsidDel="00000000" w:rsidR="00000000" w:rsidRPr="00000000">
              <w:rPr>
                <w:rtl w:val="0"/>
              </w:rPr>
              <w:t xml:space="preserve"> Copy/paste the code above into IntelliJ and see what happens.  Does it let you compile?  Which line(s) are actually problematic?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6"/>
        <w:jc w:val="right"/>
        <w:rPr>
          <w:sz w:val="20"/>
          <w:szCs w:val="20"/>
        </w:rPr>
      </w:pPr>
      <w:bookmarkStart w:colFirst="0" w:colLast="0" w:name="_pwa8dflltoqz" w:id="4"/>
      <w:bookmarkEnd w:id="4"/>
      <w:hyperlink w:anchor="_u27p2fskuls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your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own </w:t>
            </w:r>
            <w:r w:rsidDel="00000000" w:rsidR="00000000" w:rsidRPr="00000000">
              <w:rPr>
                <w:b w:val="1"/>
                <w:rtl w:val="0"/>
              </w:rPr>
              <w:t xml:space="preserve">Vehicle s</w:t>
            </w:r>
            <w:r w:rsidDel="00000000" w:rsidR="00000000" w:rsidRPr="00000000">
              <w:rPr>
                <w:b w:val="1"/>
                <w:rtl w:val="0"/>
              </w:rPr>
              <w:t xml:space="preserve">ubclass!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</w:t>
            </w:r>
            <w:r w:rsidDel="00000000" w:rsidR="00000000" w:rsidRPr="00000000">
              <w:rPr>
                <w:i w:val="1"/>
                <w:rtl w:val="0"/>
              </w:rPr>
              <w:t xml:space="preserve">third </w:t>
            </w:r>
            <w:r w:rsidDel="00000000" w:rsidR="00000000" w:rsidRPr="00000000">
              <w:rPr>
                <w:rtl w:val="0"/>
              </w:rPr>
              <w:t xml:space="preserve">class that extends Vehicle.  Think of one that makes sense in terms of what already exists in </w:t>
            </w:r>
            <w:r w:rsidDel="00000000" w:rsidR="00000000" w:rsidRPr="00000000">
              <w:rPr>
                <w:rtl w:val="0"/>
              </w:rPr>
              <w:t xml:space="preserve">Vehicle</w:t>
            </w:r>
            <w:r w:rsidDel="00000000" w:rsidR="00000000" w:rsidRPr="00000000">
              <w:rPr>
                <w:rtl w:val="0"/>
              </w:rPr>
              <w:t xml:space="preserve">.  Add at least one new attribute and one new method to your new subclass.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it by creating an object of your subclass and calling </w:t>
            </w:r>
            <w:r w:rsidDel="00000000" w:rsidR="00000000" w:rsidRPr="00000000">
              <w:rPr>
                <w:b w:val="1"/>
                <w:rtl w:val="0"/>
              </w:rPr>
              <w:t xml:space="preserve">all </w:t>
            </w:r>
            <w:r w:rsidDel="00000000" w:rsidR="00000000" w:rsidRPr="00000000">
              <w:rPr>
                <w:rtl w:val="0"/>
              </w:rPr>
              <w:t xml:space="preserve">valid methods in your runner class: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your new subclass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VehicleRunner code that you added to call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 methods for your subclass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5775"/>
        <w:tblGridChange w:id="0">
          <w:tblGrid>
            <w:gridCol w:w="5025"/>
            <w:gridCol w:w="57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Compare with your partner!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subclass did they create?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attributes/methods did they add to that subclass?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center"/>
        <w:rPr>
          <w:b w:val="1"/>
          <w:color w:val="9900ff"/>
          <w:sz w:val="32"/>
          <w:szCs w:val="32"/>
        </w:rPr>
      </w:pPr>
      <w:r w:rsidDel="00000000" w:rsidR="00000000" w:rsidRPr="00000000">
        <w:rPr>
          <w:b w:val="1"/>
          <w:color w:val="9900ff"/>
          <w:sz w:val="32"/>
          <w:szCs w:val="32"/>
          <w:rtl w:val="0"/>
        </w:rPr>
        <w:t xml:space="preserve">Done!</w:t>
      </w:r>
    </w:p>
    <w:p w:rsidR="00000000" w:rsidDel="00000000" w:rsidP="00000000" w:rsidRDefault="00000000" w:rsidRPr="00000000" w14:paraId="00000086">
      <w:pPr>
        <w:pageBreakBefore w:val="0"/>
        <w:jc w:val="center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Submit in Google Classroom:</w:t>
      </w:r>
    </w:p>
    <w:p w:rsidR="00000000" w:rsidDel="00000000" w:rsidP="00000000" w:rsidRDefault="00000000" w:rsidRPr="00000000" w14:paraId="0000008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6"/>
        <w:pageBreakBefore w:val="0"/>
        <w:widowControl w:val="0"/>
        <w:spacing w:line="240" w:lineRule="auto"/>
        <w:jc w:val="left"/>
        <w:rPr/>
      </w:pPr>
      <w:bookmarkStart w:colFirst="0" w:colLast="0" w:name="_swu6o36xp75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widowControl w:val="0"/>
        <w:spacing w:before="0" w:line="240" w:lineRule="auto"/>
        <w:rPr/>
      </w:pPr>
      <w:bookmarkStart w:colFirst="0" w:colLast="0" w:name="_iptj863a6092" w:id="6"/>
      <w:bookmarkEnd w:id="6"/>
      <w:r w:rsidDel="00000000" w:rsidR="00000000" w:rsidRPr="00000000">
        <w:rPr>
          <w:rtl w:val="0"/>
        </w:rPr>
        <w:t xml:space="preserve">Sample (</w:t>
      </w:r>
      <w:hyperlink w:anchor="_8erbtyz6u70k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Don't forget the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rtl w:val="0"/>
        </w:rPr>
        <w:t xml:space="preserve">extends</w:t>
      </w:r>
      <w:r w:rsidDel="00000000" w:rsidR="00000000" w:rsidRPr="00000000">
        <w:rPr>
          <w:sz w:val="26"/>
          <w:szCs w:val="26"/>
          <w:rtl w:val="0"/>
        </w:rPr>
        <w:t xml:space="preserve"> keyword in the class header!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5010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429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97vpq1avnbre" w:id="7"/>
      <w:bookmarkEnd w:id="7"/>
      <w:r w:rsidDel="00000000" w:rsidR="00000000" w:rsidRPr="00000000">
        <w:rPr>
          <w:rtl w:val="0"/>
        </w:rPr>
        <w:t xml:space="preserve">Sample (</w:t>
      </w:r>
      <w:hyperlink w:anchor="_7crg2895x9ha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Bicycle </w:t>
      </w:r>
      <w:r w:rsidDel="00000000" w:rsidR="00000000" w:rsidRPr="00000000">
        <w:rPr>
          <w:rtl w:val="0"/>
        </w:rPr>
        <w:t xml:space="preserve">object, you can call all </w:t>
      </w:r>
      <w:r w:rsidDel="00000000" w:rsidR="00000000" w:rsidRPr="00000000">
        <w:rPr>
          <w:b w:val="1"/>
          <w:rtl w:val="0"/>
        </w:rPr>
        <w:t xml:space="preserve">five </w:t>
      </w:r>
      <w:r w:rsidDel="00000000" w:rsidR="00000000" w:rsidRPr="00000000">
        <w:rPr>
          <w:b w:val="1"/>
          <w:color w:val="980000"/>
          <w:rtl w:val="0"/>
        </w:rPr>
        <w:t xml:space="preserve">inherited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methods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Vehicle </w:t>
      </w:r>
      <w:r w:rsidDel="00000000" w:rsidR="00000000" w:rsidRPr="00000000">
        <w:rPr>
          <w:rtl w:val="0"/>
        </w:rPr>
        <w:t xml:space="preserve">superclass: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getName()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getWheels()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move(int)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turn(int)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brake(double)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You can also call the </w:t>
      </w:r>
      <w:r w:rsidDel="00000000" w:rsidR="00000000" w:rsidRPr="00000000">
        <w:rPr>
          <w:b w:val="1"/>
          <w:rtl w:val="0"/>
        </w:rPr>
        <w:t xml:space="preserve">two Bicycle-only methods</w:t>
      </w:r>
      <w:r w:rsidDel="00000000" w:rsidR="00000000" w:rsidRPr="00000000">
        <w:rPr>
          <w:rtl w:val="0"/>
        </w:rPr>
        <w:t xml:space="preserve"> defined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Bicycle </w:t>
      </w:r>
      <w:r w:rsidDel="00000000" w:rsidR="00000000" w:rsidRPr="00000000">
        <w:rPr>
          <w:rtl w:val="0"/>
        </w:rPr>
        <w:t xml:space="preserve">subclass: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getGearCount()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ringBell()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6753225" cy="1752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8e3yu364k49g" w:id="8"/>
      <w:bookmarkEnd w:id="8"/>
      <w:r w:rsidDel="00000000" w:rsidR="00000000" w:rsidRPr="00000000">
        <w:rPr>
          <w:rtl w:val="0"/>
        </w:rPr>
        <w:t xml:space="preserve">Check (</w:t>
      </w:r>
      <w:hyperlink w:anchor="_bbhue78k2sdh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5295"/>
        <w:tblGridChange w:id="0">
          <w:tblGrid>
            <w:gridCol w:w="550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each of these statements true or false?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Bicycle is a Vehicle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Vehicle is a Bicycle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Bicycle inherits from Vehicle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Bicycle is a subclass (child class) of Vehicle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Bicycle extends Vehicle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Vehicle is the superclass (parent class) of both Bicycle and Car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True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</w:t>
            </w:r>
            <w:r w:rsidDel="00000000" w:rsidR="00000000" w:rsidRPr="00000000">
              <w:rPr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:  the "is-a" relationship only works up the chain; a subclass "is a" class of type superclass, but a superclass is not of type subclass.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 True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 True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 True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 True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>
          <w:i w:val="1"/>
        </w:rPr>
      </w:pPr>
      <w:bookmarkStart w:colFirst="0" w:colLast="0" w:name="_u27p2fskuls1" w:id="9"/>
      <w:bookmarkEnd w:id="9"/>
      <w:r w:rsidDel="00000000" w:rsidR="00000000" w:rsidRPr="00000000">
        <w:rPr>
          <w:rtl w:val="0"/>
        </w:rPr>
        <w:t xml:space="preserve">Check (</w:t>
      </w:r>
      <w:hyperlink w:anchor="_pwa8dflltoqz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670"/>
        <w:tblGridChange w:id="0">
          <w:tblGrid>
            <w:gridCol w:w="513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PREDICT: </w:t>
            </w:r>
            <w:r w:rsidDel="00000000" w:rsidR="00000000" w:rsidRPr="00000000">
              <w:rPr>
                <w:color w:val="99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Which of these lines of code, if added to the bottom of all test code in VehicleRunner, will cause compiler errors?  In other words, which are </w:t>
            </w:r>
            <w:r w:rsidDel="00000000" w:rsidR="00000000" w:rsidRPr="00000000">
              <w:rPr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valid method calls?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myVehicle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.ringBell();                          //line 1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System.out.println(myVehicle.getGearCount());  //line 2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myCar.ringBell();                              //line 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myBike.honk();                                 //line 4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myBike.lockDoors();                            //line 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line(s) do you think will cause problems?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TEST your prediction! </w:t>
            </w:r>
            <w:r w:rsidDel="00000000" w:rsidR="00000000" w:rsidRPr="00000000">
              <w:rPr>
                <w:rtl w:val="0"/>
              </w:rPr>
              <w:t xml:space="preserve"> Copy/paste the code above into IntelliJ and see what happens.  Does it let you compile?  Which line(s) are actually problematic?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ALL FIVE METHOD CALLS CAUSE COMPILER ERRORS BECAUSE NONE </w:t>
            </w:r>
            <w:r w:rsidDel="00000000" w:rsidR="00000000" w:rsidRPr="00000000">
              <w:rPr>
                <w:b w:val="1"/>
                <w:rtl w:val="0"/>
              </w:rPr>
              <w:t xml:space="preserve">of them are valid method calls!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notice that IntelliJ makes them all </w:t>
            </w:r>
            <w:r w:rsidDel="00000000" w:rsidR="00000000" w:rsidRPr="00000000">
              <w:rPr>
                <w:b w:val="1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2275" cy="9144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Hovering over any of them reveal the same problem: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"Cannot resolve method"</w:t>
              <w:br w:type="textWrapping"/>
            </w: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3467100" cy="1130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means the method is not a valid method for that object type.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11334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>
          <w:i w:val="1"/>
        </w:rPr>
      </w:pPr>
      <w:bookmarkStart w:colFirst="0" w:colLast="0" w:name="_we9usluo6g1u" w:id="10"/>
      <w:bookmarkEnd w:id="10"/>
      <w:r w:rsidDel="00000000" w:rsidR="00000000" w:rsidRPr="00000000">
        <w:rPr>
          <w:rtl w:val="0"/>
        </w:rPr>
        <w:t xml:space="preserve">Check (</w:t>
      </w:r>
      <w:hyperlink w:anchor="_uqn65z3p6ehq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4995"/>
        <w:tblGridChange w:id="0">
          <w:tblGrid>
            <w:gridCol w:w="580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The Vehicle-Car-Bicycle Hierarchy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your Bicycle subclass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UML class diagram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the inheritance hierarchy: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170.0" w:type="dxa"/>
              <w:jc w:val="left"/>
              <w:tblInd w:w="33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0"/>
              <w:tblGridChange w:id="0">
                <w:tblGrid>
                  <w:gridCol w:w="41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Vehicle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name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wheels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getName()</w:t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getWheels()</w:t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move(int distance)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turn(int degreesToTurn)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brake(double brakePercent)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409850" y="632150"/>
                                <a:ext cx="249000" cy="469500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00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433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409850" y="632150"/>
                                <a:ext cx="249000" cy="469500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00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04800" cy="433388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433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595.0" w:type="dxa"/>
              <w:jc w:val="left"/>
              <w:tblInd w:w="12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75"/>
              <w:gridCol w:w="1695"/>
              <w:gridCol w:w="3525"/>
              <w:tblGridChange w:id="0">
                <w:tblGrid>
                  <w:gridCol w:w="3375"/>
                  <w:gridCol w:w="1695"/>
                  <w:gridCol w:w="35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Car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Bicycle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fabric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gearCount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getFabric()</w:t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honk()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lockDoors()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40.0" w:type="dxa"/>
                    <w:left w:w="140.0" w:type="dxa"/>
                    <w:bottom w:w="14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getGearCount()</w:t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ringBell()</w:t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pStyle w:val="Heading6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rvqejukrcag0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verage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drive.google.com/file/d/1gusiJEAvT5laXbIYDAFtM6xSDarIKQMm/view?usp=share_link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drive.google.com/file/d/1p7of8D-74-Cxz7q6r7h2-ysf947_uEBB/view?usp=share_link" TargetMode="External"/><Relationship Id="rId8" Type="http://schemas.openxmlformats.org/officeDocument/2006/relationships/hyperlink" Target="https://drive.google.com/file/d/16_2Srh-kWPcwLGc_yLCP8Lur1EuJXbBD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