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360" w:after="160"/>
      </w:pPr>
      <w:r>
        <w:rPr>
          <w:rFonts w:ascii="Calibri" w:hAnsi="Calibri"/>
          <w:b/>
          <w:color w:val="1E3A8A"/>
          <w:sz w:val="44"/>
        </w:rPr>
        <w:t>Building an Autonomous Agentic Data Architect: How We Modernized Legacy Data Estates into a Borderless Apache Iceberg Lakehouse on Google Cloud</w:t>
      </w:r>
    </w:p>
    <w:p>
      <w:pPr>
        <w:spacing w:before="40" w:after="120" w:line="276" w:lineRule="auto"/>
      </w:pPr>
      <w:r>
        <w:rPr>
          <w:rFonts w:ascii="Calibri" w:hAnsi="Calibri"/>
          <w:i/>
          <w:color w:val="1F2937"/>
          <w:sz w:val="21"/>
        </w:rPr>
        <w:t>A comprehensive technical guide to replacing multi-million dollar manual ETL migrations with 12 specialized Gemini 3 agents, Zero-Egress VPC security, 4-tier Merkle proofs, AST-driven legacy code transpilation, and autonomic Day-2 FinOps.</w:t>
      </w:r>
    </w:p>
    <w:p>
      <w:pPr>
        <w:spacing w:before="160" w:after="160"/>
      </w:pPr>
      <w:r>
        <w:rPr>
          <w:color w:val="D1D5DB"/>
        </w:rPr>
        <w:t>―――――――――――――――――――――――――――――――――――――――――――――</w:t>
      </w:r>
    </w:p>
    <w:p>
      <w:pPr>
        <w:spacing w:before="240" w:after="80"/>
        <w:jc w:val="center"/>
      </w:pPr>
      <w:r>
        <w:drawing>
          <wp:inline xmlns:a="http://schemas.openxmlformats.org/drawingml/2006/main" xmlns:pic="http://schemas.openxmlformats.org/drawingml/2006/picture">
            <wp:extent cx="5669280" cy="3164249"/>
            <wp:docPr id="1" name="Picture 1"/>
            <wp:cNvGraphicFramePr>
              <a:graphicFrameLocks noChangeAspect="1"/>
            </wp:cNvGraphicFramePr>
            <a:graphic>
              <a:graphicData uri="http://schemas.openxmlformats.org/drawingml/2006/picture">
                <pic:pic>
                  <pic:nvPicPr>
                    <pic:cNvPr id="0" name="nexuslake_architecture_infographic.jpg"/>
                    <pic:cNvPicPr/>
                  </pic:nvPicPr>
                  <pic:blipFill>
                    <a:blip r:embed="rId9"/>
                    <a:stretch>
                      <a:fillRect/>
                    </a:stretch>
                  </pic:blipFill>
                  <pic:spPr>
                    <a:xfrm>
                      <a:off x="0" y="0"/>
                      <a:ext cx="5669280" cy="3164249"/>
                    </a:xfrm>
                    <a:prstGeom prst="rect"/>
                  </pic:spPr>
                </pic:pic>
              </a:graphicData>
            </a:graphic>
          </wp:inline>
        </w:drawing>
      </w:r>
    </w:p>
    <w:p>
      <w:pPr>
        <w:spacing w:before="40" w:after="240"/>
        <w:jc w:val="center"/>
      </w:pPr>
      <w:r>
        <w:rPr>
          <w:rFonts w:ascii="Calibri" w:hAnsi="Calibri"/>
          <w:i/>
          <w:color w:val="6B7280"/>
          <w:sz w:val="18"/>
        </w:rPr>
        <w:t>Figure 1: High-level system architecture of NexusLake Agentic Architect modernizing heterogeneous enterprise estates into an open, borderless Apache Iceberg lakehouse on Google Cloud.</w:t>
      </w:r>
    </w:p>
    <w:p>
      <w:pPr>
        <w:spacing w:before="160" w:after="160"/>
      </w:pPr>
      <w:r>
        <w:rPr>
          <w:color w:val="D1D5DB"/>
        </w:rPr>
        <w:t>―――――――――――――――――――――――――――――――――――――――――――――</w:t>
      </w:r>
    </w:p>
    <w:p>
      <w:pPr>
        <w:spacing w:before="320" w:after="120"/>
      </w:pPr>
      <w:r>
        <w:rPr>
          <w:rFonts w:ascii="Calibri" w:hAnsi="Calibri"/>
          <w:b/>
          <w:color w:val="2563EB"/>
          <w:sz w:val="32"/>
        </w:rPr>
        <w:t>Table of Contents</w:t>
      </w:r>
    </w:p>
    <w:p>
      <w:pPr>
        <w:pStyle w:val="ListNumber"/>
        <w:spacing w:before="20" w:after="40"/>
        <w:ind w:left="360"/>
      </w:pPr>
      <w:r>
        <w:rPr>
          <w:rFonts w:ascii="Calibri" w:hAnsi="Calibri"/>
          <w:color w:val="2563EB"/>
          <w:sz w:val="21"/>
          <w:u w:val="single"/>
        </w:rPr>
        <w:t>The Architectural Reality: Why Legacy Data Modernization is Hard</w:t>
      </w:r>
    </w:p>
    <w:p>
      <w:pPr>
        <w:pStyle w:val="ListNumber"/>
        <w:spacing w:before="20" w:after="40"/>
        <w:ind w:left="360"/>
      </w:pPr>
      <w:r>
        <w:rPr>
          <w:rFonts w:ascii="Calibri" w:hAnsi="Calibri"/>
          <w:color w:val="2563EB"/>
          <w:sz w:val="21"/>
          <w:u w:val="single"/>
        </w:rPr>
        <w:t>The Destination Architecture: What Makes an Iceberg Lakehouse "Borderless"?</w:t>
      </w:r>
    </w:p>
    <w:p>
      <w:pPr>
        <w:pStyle w:val="ListNumber"/>
        <w:spacing w:before="20" w:after="40"/>
        <w:ind w:left="360"/>
      </w:pPr>
      <w:r>
        <w:rPr>
          <w:rFonts w:ascii="Calibri" w:hAnsi="Calibri"/>
          <w:color w:val="2563EB"/>
          <w:sz w:val="21"/>
          <w:u w:val="single"/>
        </w:rPr>
        <w:t>The 4-Plane Decoupled Architecture &amp; Zero-Egress Security</w:t>
      </w:r>
    </w:p>
    <w:p>
      <w:pPr>
        <w:pStyle w:val="ListNumber"/>
        <w:spacing w:before="20" w:after="40"/>
        <w:ind w:left="360"/>
      </w:pPr>
      <w:r>
        <w:rPr>
          <w:rFonts w:ascii="Calibri" w:hAnsi="Calibri"/>
          <w:color w:val="2563EB"/>
          <w:sz w:val="21"/>
          <w:u w:val="single"/>
        </w:rPr>
        <w:t>Master System Mindmap: Architectural Pillars at a Glance</w:t>
      </w:r>
    </w:p>
    <w:p>
      <w:pPr>
        <w:pStyle w:val="ListNumber"/>
        <w:spacing w:before="20" w:after="40"/>
        <w:ind w:left="360"/>
      </w:pPr>
      <w:r>
        <w:rPr>
          <w:rFonts w:ascii="Calibri" w:hAnsi="Calibri"/>
          <w:color w:val="2563EB"/>
          <w:sz w:val="21"/>
          <w:u w:val="single"/>
        </w:rPr>
        <w:t>The 12-Stage Modernization Lifecycle &amp; 10 Autonomous Strategies</w:t>
      </w:r>
    </w:p>
    <w:p>
      <w:pPr>
        <w:pStyle w:val="ListNumber"/>
        <w:spacing w:before="20" w:after="40"/>
        <w:ind w:left="360"/>
      </w:pPr>
      <w:r>
        <w:rPr>
          <w:rFonts w:ascii="Calibri" w:hAnsi="Calibri"/>
          <w:color w:val="2563EB"/>
          <w:sz w:val="21"/>
          <w:u w:val="single"/>
        </w:rPr>
        <w:t>Developer Deep Dive: How the Core Components Were Engineered</w:t>
      </w:r>
    </w:p>
    <w:p>
      <w:pPr>
        <w:pStyle w:val="ListBullet"/>
        <w:spacing w:before="20" w:after="40"/>
        <w:ind w:left="720"/>
      </w:pPr>
      <w:r>
        <w:rPr>
          <w:rFonts w:ascii="Calibri" w:hAnsi="Calibri"/>
          <w:color w:val="2563EB"/>
          <w:sz w:val="21"/>
          <w:u w:val="single"/>
        </w:rPr>
        <w:t>6.1 The Canonical DataAsset Model &amp; Differential Privacy Profiling</w:t>
      </w:r>
    </w:p>
    <w:p>
      <w:pPr>
        <w:pStyle w:val="ListBullet"/>
        <w:spacing w:before="20" w:after="40"/>
        <w:ind w:left="720"/>
      </w:pPr>
      <w:r>
        <w:rPr>
          <w:rFonts w:ascii="Calibri" w:hAnsi="Calibri"/>
          <w:color w:val="2563EB"/>
          <w:sz w:val="21"/>
          <w:u w:val="single"/>
        </w:rPr>
        <w:t>6.2 Topological Dependency Graph &amp; Migration Wave Planning</w:t>
      </w:r>
    </w:p>
    <w:p>
      <w:pPr>
        <w:pStyle w:val="ListBullet"/>
        <w:spacing w:before="20" w:after="40"/>
        <w:ind w:left="720"/>
      </w:pPr>
      <w:r>
        <w:rPr>
          <w:rFonts w:ascii="Calibri" w:hAnsi="Calibri"/>
          <w:color w:val="2563EB"/>
          <w:sz w:val="21"/>
          <w:u w:val="single"/>
        </w:rPr>
        <w:t>6.3 AST-Driven Transpiler: Converting PL/SQL &amp; BTEQ to Serverless PySpark</w:t>
      </w:r>
    </w:p>
    <w:p>
      <w:pPr>
        <w:pStyle w:val="ListBullet"/>
        <w:spacing w:before="20" w:after="40"/>
        <w:ind w:left="720"/>
      </w:pPr>
      <w:r>
        <w:rPr>
          <w:rFonts w:ascii="Calibri" w:hAnsi="Calibri"/>
          <w:color w:val="2563EB"/>
          <w:sz w:val="21"/>
          <w:u w:val="single"/>
        </w:rPr>
        <w:t>6.4 The AgentGuard Policy Firewall: Guarding Against Destructive DDL</w:t>
      </w:r>
    </w:p>
    <w:p>
      <w:pPr>
        <w:pStyle w:val="ListBullet"/>
        <w:spacing w:before="20" w:after="40"/>
        <w:ind w:left="720"/>
      </w:pPr>
      <w:r>
        <w:rPr>
          <w:rFonts w:ascii="Calibri" w:hAnsi="Calibri"/>
          <w:color w:val="2563EB"/>
          <w:sz w:val="21"/>
          <w:u w:val="single"/>
        </w:rPr>
        <w:t>6.5 The Math of Zero-Data Loss: In-Engine Commutative XOR Merkle Hashing</w:t>
      </w:r>
    </w:p>
    <w:p>
      <w:pPr>
        <w:pStyle w:val="ListBullet"/>
        <w:spacing w:before="20" w:after="40"/>
        <w:ind w:left="720"/>
      </w:pPr>
      <w:r>
        <w:rPr>
          <w:rFonts w:ascii="Calibri" w:hAnsi="Calibri"/>
          <w:color w:val="2563EB"/>
          <w:sz w:val="21"/>
          <w:u w:val="single"/>
        </w:rPr>
        <w:t>6.6 Autonomic Day-2 Lakehouse SRE &amp; FinOps Compaction Economics</w:t>
      </w:r>
    </w:p>
    <w:p>
      <w:pPr>
        <w:pStyle w:val="ListNumber"/>
        <w:spacing w:before="20" w:after="40"/>
        <w:ind w:left="360"/>
      </w:pPr>
      <w:r>
        <w:rPr>
          <w:rFonts w:ascii="Calibri" w:hAnsi="Calibri"/>
          <w:color w:val="2563EB"/>
          <w:sz w:val="21"/>
          <w:u w:val="single"/>
        </w:rPr>
        <w:t>Internal Working Process: Step-by-Step Chronological Execution</w:t>
      </w:r>
    </w:p>
    <w:p>
      <w:pPr>
        <w:pStyle w:val="ListNumber"/>
        <w:spacing w:before="20" w:after="40"/>
        <w:ind w:left="360"/>
      </w:pPr>
      <w:r>
        <w:rPr>
          <w:rFonts w:ascii="Calibri" w:hAnsi="Calibri"/>
          <w:color w:val="2563EB"/>
          <w:sz w:val="21"/>
          <w:u w:val="single"/>
        </w:rPr>
        <w:t>Autonomic Day-2 Compaction Lifecycle (State Machine)</w:t>
      </w:r>
    </w:p>
    <w:p>
      <w:pPr>
        <w:pStyle w:val="ListNumber"/>
        <w:spacing w:before="20" w:after="40"/>
        <w:ind w:left="360"/>
      </w:pPr>
      <w:r>
        <w:rPr>
          <w:rFonts w:ascii="Calibri" w:hAnsi="Calibri"/>
          <w:color w:val="2563EB"/>
          <w:sz w:val="21"/>
          <w:u w:val="single"/>
        </w:rPr>
        <w:t>Hands-On Tutorial: Running a Real Migration in 5 Minutes</w:t>
      </w:r>
    </w:p>
    <w:p>
      <w:pPr>
        <w:pStyle w:val="ListNumber"/>
        <w:spacing w:before="20" w:after="40"/>
        <w:ind w:left="360"/>
      </w:pPr>
      <w:r>
        <w:rPr>
          <w:rFonts w:ascii="Calibri" w:hAnsi="Calibri"/>
          <w:color w:val="2563EB"/>
          <w:sz w:val="21"/>
          <w:u w:val="single"/>
        </w:rPr>
        <w:t>Repository Structure &amp; GitHub Setup</w:t>
      </w:r>
    </w:p>
    <w:p>
      <w:pPr>
        <w:pStyle w:val="ListNumber"/>
        <w:spacing w:before="20" w:after="40"/>
        <w:ind w:left="360"/>
      </w:pPr>
      <w:r>
        <w:rPr>
          <w:rFonts w:ascii="Calibri" w:hAnsi="Calibri"/>
          <w:color w:val="2563EB"/>
          <w:sz w:val="21"/>
          <w:u w:val="single"/>
        </w:rPr>
        <w:t>Conclusion, Strategic Takeaways &amp; Medium Tags</w:t>
      </w:r>
    </w:p>
    <w:p>
      <w:pPr>
        <w:spacing w:before="160" w:after="160"/>
      </w:pPr>
      <w:r>
        <w:rPr>
          <w:color w:val="D1D5DB"/>
        </w:rPr>
        <w:t>―――――――――――――――――――――――――――――――――――――――――――――</w:t>
      </w:r>
    </w:p>
    <w:p>
      <w:pPr>
        <w:spacing w:before="320" w:after="120"/>
      </w:pPr>
      <w:r>
        <w:rPr>
          <w:rFonts w:ascii="Calibri" w:hAnsi="Calibri"/>
          <w:b/>
          <w:color w:val="2563EB"/>
          <w:sz w:val="32"/>
        </w:rPr>
        <w:t>1. The Architectural Reality: Why Legacy Data Modernization is Hard</w:t>
      </w:r>
    </w:p>
    <w:p>
      <w:pPr>
        <w:spacing w:before="40" w:after="120" w:line="276" w:lineRule="auto"/>
      </w:pPr>
      <w:r>
        <w:rPr>
          <w:rFonts w:ascii="Calibri" w:hAnsi="Calibri"/>
          <w:color w:val="1F2937"/>
          <w:sz w:val="21"/>
        </w:rPr>
        <w:t>Migrating an enterprise data estate is rarely a matter of simply moving rows from Point A to Point B.</w:t>
      </w:r>
    </w:p>
    <w:p>
      <w:pPr>
        <w:spacing w:before="40" w:after="120" w:line="276" w:lineRule="auto"/>
      </w:pPr>
      <w:r>
        <w:rPr>
          <w:rFonts w:ascii="Calibri" w:hAnsi="Calibri"/>
          <w:color w:val="1F2937"/>
          <w:sz w:val="21"/>
        </w:rPr>
        <w:t>In real-world enterprise architectures that have evolved over decades, data estates are complex, entangled ecosystems:</w:t>
      </w:r>
    </w:p>
    <w:p>
      <w:pPr>
        <w:pStyle w:val="ListNumber"/>
        <w:spacing w:before="20" w:after="40"/>
        <w:ind w:left="360"/>
      </w:pPr>
      <w:r>
        <w:rPr>
          <w:rFonts w:ascii="Calibri" w:hAnsi="Calibri"/>
          <w:b/>
          <w:color w:val="1F2937"/>
          <w:sz w:val="21"/>
        </w:rPr>
        <w:t>The Stored Procedure Black Hole:</w:t>
      </w:r>
      <w:r>
        <w:rPr>
          <w:rFonts w:ascii="Calibri" w:hAnsi="Calibri"/>
          <w:color w:val="1F2937"/>
          <w:sz w:val="21"/>
        </w:rPr>
        <w:t xml:space="preserve"> Decades of critical business intelligence, currency conversions, and financial accounting rules live buried inside thousands of legacy stored procedures—written in proprietary dialects like Oracle PL/SQL, Teradata BTEQ, or SQL Server T-SQL—often with zero documentation and original authors long gone. Rewriting these manually into distributed PySpark takes extensive developer time and risks silent numerical divergence.</w:t>
      </w:r>
    </w:p>
    <w:p>
      <w:pPr>
        <w:pStyle w:val="ListNumber"/>
        <w:spacing w:before="20" w:after="40"/>
        <w:ind w:left="360"/>
      </w:pPr>
      <w:r>
        <w:rPr>
          <w:rFonts w:ascii="Calibri" w:hAnsi="Calibri"/>
          <w:b/>
          <w:color w:val="1F2937"/>
          <w:sz w:val="21"/>
        </w:rPr>
        <w:t>The "Data Swamp" Phenomenon:</w:t>
      </w:r>
      <w:r>
        <w:rPr>
          <w:rFonts w:ascii="Calibri" w:hAnsi="Calibri"/>
          <w:color w:val="1F2937"/>
          <w:sz w:val="21"/>
        </w:rPr>
        <w:t xml:space="preserve"> Unmanaged object storage lakes (raw Parquet, ORC, CSV) lack ACID guarantees, atomic commits, and snapshot isolation, leading to partition drift, read-write race conditions, and silent data corruption during concurrent writes.</w:t>
      </w:r>
    </w:p>
    <w:p>
      <w:pPr>
        <w:pStyle w:val="ListNumber"/>
        <w:spacing w:before="20" w:after="40"/>
        <w:ind w:left="360"/>
      </w:pPr>
      <w:r>
        <w:rPr>
          <w:rFonts w:ascii="Calibri" w:hAnsi="Calibri"/>
          <w:b/>
          <w:color w:val="1F2937"/>
          <w:sz w:val="21"/>
        </w:rPr>
        <w:t>The Small-File Crisis:</w:t>
      </w:r>
      <w:r>
        <w:rPr>
          <w:rFonts w:ascii="Calibri" w:hAnsi="Calibri"/>
          <w:color w:val="1F2937"/>
          <w:sz w:val="21"/>
        </w:rPr>
        <w:t xml:space="preserve"> Real-time ingestion pipelines and streaming CDC micro-batches accumulate millions of tiny sub-10MB files. Within months, query engines spend up to 80% of their compute slots parsing file metadata rather than processing data, causing severe query degradation and inflating cloud costs.</w:t>
      </w:r>
    </w:p>
    <w:p>
      <w:pPr>
        <w:pStyle w:val="ListNumber"/>
        <w:spacing w:before="20" w:after="40"/>
        <w:ind w:left="360"/>
      </w:pPr>
      <w:r>
        <w:rPr>
          <w:rFonts w:ascii="Calibri" w:hAnsi="Calibri"/>
          <w:b/>
          <w:color w:val="1F2937"/>
          <w:sz w:val="21"/>
        </w:rPr>
        <w:t>The False Comfort of `SELECT COUNT(*)`:</w:t>
      </w:r>
      <w:r>
        <w:rPr>
          <w:rFonts w:ascii="Calibri" w:hAnsi="Calibri"/>
          <w:color w:val="1F2937"/>
          <w:sz w:val="21"/>
        </w:rPr>
        <w:t xml:space="preserve"> Conventional migrations rely on basic row-count comparisons, which fail to detect silent null conversions, floating-point precision drifts, character encoding discrepancies, or timezone truncations (</w:t>
      </w:r>
      <w:r>
        <w:rPr>
          <w:rFonts w:ascii="Consolas" w:hAnsi="Consolas"/>
          <w:color w:val="B91C1C"/>
          <w:sz w:val="19"/>
        </w:rPr>
        <w:t>TIMESTAMP</w:t>
      </w:r>
      <w:r>
        <w:rPr>
          <w:rFonts w:ascii="Calibri" w:hAnsi="Calibri"/>
          <w:color w:val="1F2937"/>
          <w:sz w:val="21"/>
        </w:rPr>
        <w:t xml:space="preserve"> vs </w:t>
      </w:r>
      <w:r>
        <w:rPr>
          <w:rFonts w:ascii="Consolas" w:hAnsi="Consolas"/>
          <w:color w:val="B91C1C"/>
          <w:sz w:val="19"/>
        </w:rPr>
        <w:t>TIMESTAMPTZ</w:t>
      </w:r>
      <w:r>
        <w:rPr>
          <w:rFonts w:ascii="Calibri" w:hAnsi="Calibri"/>
          <w:color w:val="1F2937"/>
          <w:sz w:val="21"/>
        </w:rPr>
        <w:t>) until weeks after production cutover.</w:t>
      </w:r>
    </w:p>
    <w:p>
      <w:pPr>
        <w:pStyle w:val="ListNumber"/>
        <w:spacing w:before="20" w:after="40"/>
        <w:ind w:left="360"/>
      </w:pPr>
      <w:r>
        <w:rPr>
          <w:rFonts w:ascii="Calibri" w:hAnsi="Calibri"/>
          <w:b/>
          <w:color w:val="1F2937"/>
          <w:sz w:val="21"/>
        </w:rPr>
        <w:t>The Proprietary Re-Lock-In Dilemma:</w:t>
      </w:r>
      <w:r>
        <w:rPr>
          <w:rFonts w:ascii="Calibri" w:hAnsi="Calibri"/>
          <w:color w:val="1F2937"/>
          <w:sz w:val="21"/>
        </w:rPr>
        <w:t xml:space="preserve"> Transitioning off an on-premise relational engine only to lock datasets into a proprietary cloud data warehouse format trades one vendor lock-in for another, creating steep egress penalties, closed metadata layers, and rigid compute constraints.</w:t>
      </w:r>
    </w:p>
    <w:p>
      <w:pPr>
        <w:spacing w:before="40" w:after="120" w:line="276" w:lineRule="auto"/>
      </w:pPr>
      <w:r>
        <w:rPr>
          <w:rFonts w:ascii="Calibri" w:hAnsi="Calibri"/>
          <w:color w:val="1F2937"/>
          <w:sz w:val="21"/>
        </w:rPr>
        <w:t xml:space="preserve">To address these architectural bottlenecks, we engineered </w:t>
      </w:r>
      <w:r>
        <w:rPr>
          <w:rFonts w:ascii="Calibri" w:hAnsi="Calibri"/>
          <w:b/>
          <w:color w:val="1F2937"/>
          <w:sz w:val="21"/>
        </w:rPr>
        <w:t>NexusLake Agentic Architect</w:t>
      </w:r>
      <w:r>
        <w:rPr>
          <w:rFonts w:ascii="Calibri" w:hAnsi="Calibri"/>
          <w:color w:val="1F2937"/>
          <w:sz w:val="21"/>
        </w:rPr>
        <w:t xml:space="preserve"> (also known as </w:t>
      </w:r>
      <w:r>
        <w:rPr>
          <w:rFonts w:ascii="Calibri" w:hAnsi="Calibri"/>
          <w:b/>
          <w:color w:val="1F2937"/>
          <w:sz w:val="21"/>
        </w:rPr>
        <w:t>Agentic Migration Architect</w:t>
      </w:r>
      <w:r>
        <w:rPr>
          <w:rFonts w:ascii="Calibri" w:hAnsi="Calibri"/>
          <w:color w:val="1F2937"/>
          <w:sz w:val="21"/>
        </w:rPr>
        <w:t>).</w:t>
      </w:r>
    </w:p>
    <w:p>
      <w:pPr>
        <w:spacing w:before="40" w:after="120" w:line="276" w:lineRule="auto"/>
      </w:pPr>
      <w:r>
        <w:rPr>
          <w:rFonts w:ascii="Calibri" w:hAnsi="Calibri"/>
          <w:color w:val="1F2937"/>
          <w:sz w:val="21"/>
        </w:rPr>
        <w:t xml:space="preserve">This system replaces brittle manual ETL scripts with a network of </w:t>
      </w:r>
      <w:r>
        <w:rPr>
          <w:rFonts w:ascii="Calibri" w:hAnsi="Calibri"/>
          <w:b/>
          <w:color w:val="1F2937"/>
          <w:sz w:val="21"/>
        </w:rPr>
        <w:t>12 specialized agents powered by Google's latest Gemini 3 models (Gemini 3.1 Pro and Gemini 3 Flash)</w:t>
      </w:r>
      <w:r>
        <w:rPr>
          <w:rFonts w:ascii="Calibri" w:hAnsi="Calibri"/>
          <w:color w:val="1F2937"/>
          <w:sz w:val="21"/>
        </w:rPr>
        <w:t>. These agents reason over metadata, construct topological migration waves, transpile procedural SQL into PySpark, sanitize data, enforce Zero-Egress VPC security, and mathematically certify zero data loss via order-independent cryptographic Merkle hashes.</w:t>
      </w:r>
    </w:p>
    <w:p>
      <w:pPr>
        <w:spacing w:before="160" w:after="160"/>
      </w:pPr>
      <w:r>
        <w:rPr>
          <w:color w:val="D1D5DB"/>
        </w:rPr>
        <w:t>―――――――――――――――――――――――――――――――――――――――――――――</w:t>
      </w:r>
    </w:p>
    <w:p>
      <w:pPr>
        <w:spacing w:before="320" w:after="120"/>
      </w:pPr>
      <w:r>
        <w:rPr>
          <w:rFonts w:ascii="Calibri" w:hAnsi="Calibri"/>
          <w:b/>
          <w:color w:val="2563EB"/>
          <w:sz w:val="32"/>
        </w:rPr>
        <w:t>2. The Destination Architecture: What Makes an Iceberg Lakehouse "Borderless"?</w:t>
      </w:r>
    </w:p>
    <w:p>
      <w:pPr>
        <w:spacing w:before="40" w:after="120" w:line="276" w:lineRule="auto"/>
      </w:pPr>
      <w:r>
        <w:rPr>
          <w:rFonts w:ascii="Calibri" w:hAnsi="Calibri"/>
          <w:color w:val="1F2937"/>
          <w:sz w:val="21"/>
        </w:rPr>
        <w:t xml:space="preserve">Before looking at how agents orchestrate migrations, let us establish what makes an open </w:t>
      </w:r>
      <w:r>
        <w:rPr>
          <w:rFonts w:ascii="Calibri" w:hAnsi="Calibri"/>
          <w:b/>
          <w:color w:val="1F2937"/>
          <w:sz w:val="21"/>
        </w:rPr>
        <w:t>Apache Iceberg v2 Lakehouse on Google Cloud</w:t>
      </w:r>
      <w:r>
        <w:rPr>
          <w:rFonts w:ascii="Calibri" w:hAnsi="Calibri"/>
          <w:color w:val="1F2937"/>
          <w:sz w:val="21"/>
        </w:rPr>
        <w:t xml:space="preserve"> superior to legacy architectures.</w:t>
      </w:r>
    </w:p>
    <w:tbl>
      <w:tblPr>
        <w:tblW w:type="auto" w:w="0"/>
        <w:jc w:val="center"/>
        <w:tblLayout w:type="fixed"/>
        <w:tblLook w:firstColumn="1" w:firstRow="1" w:lastColumn="0" w:lastRow="0" w:noHBand="0" w:noVBand="1" w:val="04A0"/>
        <w:tblBorders>
          <w:top w:val="single" w:sz="6" w:space="0" w:color="334155"/>
          <w:bottom w:val="single" w:sz="6" w:space="0" w:color="334155"/>
          <w:left w:val="single" w:sz="6" w:space="0" w:color="334155"/>
          <w:right w:val="single" w:sz="6" w:space="0" w:color="334155"/>
          <w:insideH w:val="none"/>
          <w:insideV w:val="none"/>
        </w:tblBorders>
      </w:tblPr>
      <w:tblGrid>
        <w:gridCol w:w="9360"/>
      </w:tblGrid>
      <w:tr>
        <w:tc>
          <w:tcPr>
            <w:tcW w:type="dxa" w:w="9360"/>
            <w:shd w:fill="0F172A"/>
            <w:tcMar>
              <w:top w:w="140" w:type="dxa"/>
              <w:bottom w:w="140" w:type="dxa"/>
              <w:left w:w="200" w:type="dxa"/>
              <w:right w:w="200" w:type="dxa"/>
            </w:tcMar>
          </w:tcPr>
          <w:p>
            <w:pPr>
              <w:spacing w:before="0" w:after="0" w:line="276" w:lineRule="auto"/>
            </w:pPr>
            <w:r>
              <w:rPr>
                <w:rFonts w:ascii="Consolas" w:hAnsi="Consolas"/>
                <w:color w:val="F1F5F9"/>
                <w:sz w:val="18"/>
              </w:rPr>
              <w:t xml:space="preserve">  ┌─────────────────────────────────────────────────────────────────────────────┐</w:t>
              <w:br/>
              <w:t xml:space="preserve">  │                      ANALYTICAL &amp; AI CONSUMPTION LAYER                      │</w:t>
              <w:br/>
              <w:t xml:space="preserve">  │     BigQuery SQL   │   Serverless Spark   │   Trino / DuckDB   │  Vertex AI │</w:t>
              <w:br/>
              <w:t xml:space="preserve">  └──────────────────────────────────────┬──────────────────────────────────────┘</w:t>
              <w:br/>
              <w:t xml:space="preserve">                                         │ Open BigLake REST Protocol</w:t>
              <w:br/>
              <w:t xml:space="preserve">  ┌──────────────────────────────────────▼──────────────────────────────────────┐</w:t>
              <w:br/>
              <w:t xml:space="preserve">  │                   GOOGLE CLOUD BIGLAKE ICEBERG REST CATALOG                 │</w:t>
              <w:br/>
              <w:t xml:space="preserve">  │   - Universal Multi-Engine Table Pointers                                   │</w:t>
              <w:br/>
              <w:t xml:space="preserve">  │   - Centralized ACID Snapshot Commits &amp; Optimistic Concurrency Control      │</w:t>
              <w:br/>
              <w:t xml:space="preserve">  │   - Google Cloud Dataplex Fine-Grained Policy Tags (Row/Column Security)    │</w:t>
              <w:br/>
              <w:t xml:space="preserve">  └──────────────────────────────────────┬──────────────────────────────────────┘</w:t>
              <w:br/>
              <w:t xml:space="preserve">                                         │ Manifest List &amp; Snapshot State (.avro)</w:t>
              <w:br/>
              <w:t xml:space="preserve">  ┌──────────────────────────────────────▼──────────────────────────────────────┐</w:t>
              <w:br/>
              <w:t xml:space="preserve">  │                    PHYSICAL APACHE ICEBERG v2 STORAGE (GCS)                 │</w:t>
              <w:br/>
              <w:t xml:space="preserve">  │   - Strongly Typed Columnar Parquet Files (Zstandard Compression, 256 MB)   │</w:t>
              <w:br/>
              <w:t xml:space="preserve">  │   - Hidden Partitioning: days(timestamp), bucket(16, id)                     │</w:t>
              <w:br/>
              <w:t xml:space="preserve">  │   - Row-Level Delete Files: .delete.parquet (Merge-on-Read / Copy-on-Write) │</w:t>
              <w:br/>
              <w:t xml:space="preserve">  │   - Puffin Statistical Files: HyperLogLog sketches for instant query stats  │</w:t>
              <w:br/>
              <w:t xml:space="preserve">  └─────────────────────────────────────────────────────────────────────────────┘</w:t>
            </w:r>
          </w:p>
        </w:tc>
      </w:tr>
    </w:tbl>
    <w:p>
      <w:pPr>
        <w:spacing w:before="80" w:after="80"/>
      </w:pPr>
    </w:p>
    <w:p>
      <w:pPr>
        <w:spacing w:before="240" w:after="80"/>
      </w:pPr>
      <w:r>
        <w:rPr>
          <w:rFonts w:ascii="Calibri" w:hAnsi="Calibri"/>
          <w:b/>
          <w:color w:val="1E40AF"/>
          <w:sz w:val="26"/>
        </w:rPr>
        <w:t>Why We Call It "Borderless":</w:t>
      </w:r>
    </w:p>
    <w:p>
      <w:pPr>
        <w:pStyle w:val="ListNumber"/>
        <w:spacing w:before="20" w:after="40"/>
        <w:ind w:left="360"/>
      </w:pPr>
      <w:r>
        <w:rPr>
          <w:rFonts w:ascii="Calibri" w:hAnsi="Calibri"/>
          <w:b/>
          <w:color w:val="1F2937"/>
          <w:sz w:val="21"/>
        </w:rPr>
        <w:t>Engine Independence (Zero Vendor Lock-In):</w:t>
      </w:r>
      <w:r>
        <w:rPr>
          <w:rFonts w:ascii="Calibri" w:hAnsi="Calibri"/>
          <w:color w:val="1F2937"/>
          <w:sz w:val="21"/>
        </w:rPr>
        <w:t xml:space="preserve"> The catalog conforms strictly to the open </w:t>
      </w:r>
      <w:r>
        <w:rPr>
          <w:rFonts w:ascii="Calibri" w:hAnsi="Calibri"/>
          <w:b/>
          <w:color w:val="1F2937"/>
          <w:sz w:val="21"/>
        </w:rPr>
        <w:t>Apache Iceberg REST Catalog specification</w:t>
      </w:r>
      <w:r>
        <w:rPr>
          <w:rFonts w:ascii="Calibri" w:hAnsi="Calibri"/>
          <w:color w:val="1F2937"/>
          <w:sz w:val="21"/>
        </w:rPr>
        <w:t>. The exact same table stored in Google Cloud Storage (GCS) can be queried simultaneously by BigQuery BI Engine, Google Cloud Serverless Spark, Trino, Flink, and DuckDB without duplicating bytes.</w:t>
      </w:r>
    </w:p>
    <w:p>
      <w:pPr>
        <w:pStyle w:val="ListNumber"/>
        <w:spacing w:before="20" w:after="40"/>
        <w:ind w:left="360"/>
      </w:pPr>
      <w:r>
        <w:rPr>
          <w:rFonts w:ascii="Calibri" w:hAnsi="Calibri"/>
          <w:b/>
          <w:color w:val="1F2937"/>
          <w:sz w:val="21"/>
        </w:rPr>
        <w:t>Zero-Copy In-Place Registration (`REGISTER` Strategy):</w:t>
      </w:r>
      <w:r>
        <w:rPr>
          <w:rFonts w:ascii="Calibri" w:hAnsi="Calibri"/>
          <w:color w:val="1F2937"/>
          <w:sz w:val="21"/>
        </w:rPr>
        <w:t xml:space="preserve"> For existing Parquet/ORC data lakes already residing in Cloud Storage, NexusLake avoids moving petabytes across the network. It registers the existing physical files directly into the BigLake REST Catalog via metadata manifests—achieving instantaneous migration at </w:t>
      </w:r>
      <w:r>
        <w:rPr>
          <w:rFonts w:ascii="Calibri" w:hAnsi="Calibri"/>
          <w:b/>
          <w:color w:val="1F2937"/>
          <w:sz w:val="21"/>
        </w:rPr>
        <w:t>$0 data transfer cost</w:t>
      </w:r>
      <w:r>
        <w:rPr>
          <w:rFonts w:ascii="Calibri" w:hAnsi="Calibri"/>
          <w:color w:val="1F2937"/>
          <w:sz w:val="21"/>
        </w:rPr>
        <w:t>.</w:t>
      </w:r>
    </w:p>
    <w:p>
      <w:pPr>
        <w:pStyle w:val="ListNumber"/>
        <w:spacing w:before="20" w:after="40"/>
        <w:ind w:left="360"/>
      </w:pPr>
      <w:r>
        <w:rPr>
          <w:rFonts w:ascii="Calibri" w:hAnsi="Calibri"/>
          <w:b/>
          <w:color w:val="1F2937"/>
          <w:sz w:val="21"/>
        </w:rPr>
        <w:t>Hidden Partition Transforms:</w:t>
      </w:r>
      <w:r>
        <w:rPr>
          <w:rFonts w:ascii="Calibri" w:hAnsi="Calibri"/>
          <w:color w:val="1F2937"/>
          <w:sz w:val="21"/>
        </w:rPr>
        <w:t xml:space="preserve"> In legacy Hive or relational tables, users had to query artificial columns (</w:t>
      </w:r>
      <w:r>
        <w:rPr>
          <w:rFonts w:ascii="Consolas" w:hAnsi="Consolas"/>
          <w:color w:val="B91C1C"/>
          <w:sz w:val="19"/>
        </w:rPr>
        <w:t>WHERE date_year=2026 AND date_month=09</w:t>
      </w:r>
      <w:r>
        <w:rPr>
          <w:rFonts w:ascii="Calibri" w:hAnsi="Calibri"/>
          <w:color w:val="1F2937"/>
          <w:sz w:val="21"/>
        </w:rPr>
        <w:t>). With Iceberg, users query standard business fields (</w:t>
      </w:r>
      <w:r>
        <w:rPr>
          <w:rFonts w:ascii="Consolas" w:hAnsi="Consolas"/>
          <w:color w:val="B91C1C"/>
          <w:sz w:val="19"/>
        </w:rPr>
        <w:t>WHERE transaction_timestamp &gt;= '2026-09-01'</w:t>
      </w:r>
      <w:r>
        <w:rPr>
          <w:rFonts w:ascii="Calibri" w:hAnsi="Calibri"/>
          <w:color w:val="1F2937"/>
          <w:sz w:val="21"/>
        </w:rPr>
        <w:t>), and Iceberg automatically calculates the partition layout (</w:t>
      </w:r>
      <w:r>
        <w:rPr>
          <w:rFonts w:ascii="Consolas" w:hAnsi="Consolas"/>
          <w:color w:val="B91C1C"/>
          <w:sz w:val="19"/>
        </w:rPr>
        <w:t>days(transaction_timestamp)</w:t>
      </w:r>
      <w:r>
        <w:rPr>
          <w:rFonts w:ascii="Calibri" w:hAnsi="Calibri"/>
          <w:color w:val="1F2937"/>
          <w:sz w:val="21"/>
        </w:rPr>
        <w:t>) and prunes unneeded files.</w:t>
      </w:r>
    </w:p>
    <w:p>
      <w:pPr>
        <w:pStyle w:val="ListNumber"/>
        <w:spacing w:before="20" w:after="40"/>
        <w:ind w:left="360"/>
      </w:pPr>
      <w:r>
        <w:rPr>
          <w:rFonts w:ascii="Calibri" w:hAnsi="Calibri"/>
          <w:b/>
          <w:color w:val="1F2937"/>
          <w:sz w:val="21"/>
        </w:rPr>
        <w:t>Row-Level Deletes (v2 Format):</w:t>
      </w:r>
      <w:r>
        <w:rPr>
          <w:rFonts w:ascii="Calibri" w:hAnsi="Calibri"/>
          <w:color w:val="1F2937"/>
          <w:sz w:val="21"/>
        </w:rPr>
        <w:t xml:space="preserve"> Iceberg v2 supports Merge-on-Read (MoR) through </w:t>
      </w:r>
      <w:r>
        <w:rPr>
          <w:rFonts w:ascii="Consolas" w:hAnsi="Consolas"/>
          <w:color w:val="B91C1C"/>
          <w:sz w:val="19"/>
        </w:rPr>
        <w:t>.delete.parquet</w:t>
      </w:r>
      <w:r>
        <w:rPr>
          <w:rFonts w:ascii="Calibri" w:hAnsi="Calibri"/>
          <w:color w:val="1F2937"/>
          <w:sz w:val="21"/>
        </w:rPr>
        <w:t xml:space="preserve"> files. Streaming CDC mutations update tables with low latency without forcing immediate full-file rewrites.</w:t>
      </w:r>
    </w:p>
    <w:p>
      <w:pPr>
        <w:pStyle w:val="ListNumber"/>
        <w:spacing w:before="20" w:after="40"/>
        <w:ind w:left="360"/>
      </w:pPr>
      <w:r>
        <w:rPr>
          <w:rFonts w:ascii="Calibri" w:hAnsi="Calibri"/>
          <w:b/>
          <w:color w:val="1F2937"/>
          <w:sz w:val="21"/>
        </w:rPr>
        <w:t>Multimodal AI Readiness:</w:t>
      </w:r>
      <w:r>
        <w:rPr>
          <w:rFonts w:ascii="Calibri" w:hAnsi="Calibri"/>
          <w:color w:val="1F2937"/>
          <w:sz w:val="21"/>
        </w:rPr>
        <w:t xml:space="preserve"> Vector embeddings ($768d$ or $1536d$ floats) and media references (PDFs, images, audio transcripts) sit directly inside columnar Parquet arrays (</w:t>
      </w:r>
      <w:r>
        <w:rPr>
          <w:rFonts w:ascii="Consolas" w:hAnsi="Consolas"/>
          <w:color w:val="B91C1C"/>
          <w:sz w:val="19"/>
        </w:rPr>
        <w:t>list&lt;float&gt;</w:t>
      </w:r>
      <w:r>
        <w:rPr>
          <w:rFonts w:ascii="Calibri" w:hAnsi="Calibri"/>
          <w:color w:val="1F2937"/>
          <w:sz w:val="21"/>
        </w:rPr>
        <w:t>), enabling native hybrid SQL + Vector Search queries powered by Vertex AI.</w:t>
      </w:r>
    </w:p>
    <w:p>
      <w:pPr>
        <w:spacing w:before="160" w:after="160"/>
      </w:pPr>
      <w:r>
        <w:rPr>
          <w:color w:val="D1D5DB"/>
        </w:rPr>
        <w:t>―――――――――――――――――――――――――――――――――――――――――――――</w:t>
      </w:r>
    </w:p>
    <w:p>
      <w:pPr>
        <w:spacing w:before="320" w:after="120"/>
      </w:pPr>
      <w:r>
        <w:rPr>
          <w:rFonts w:ascii="Calibri" w:hAnsi="Calibri"/>
          <w:b/>
          <w:color w:val="2563EB"/>
          <w:sz w:val="32"/>
        </w:rPr>
        <w:t>3. The 4-Plane Decoupled Architecture &amp; Zero-Egress Security</w:t>
      </w:r>
    </w:p>
    <w:p>
      <w:pPr>
        <w:spacing w:before="40" w:after="120" w:line="276" w:lineRule="auto"/>
      </w:pPr>
      <w:r>
        <w:rPr>
          <w:rFonts w:ascii="Calibri" w:hAnsi="Calibri"/>
          <w:color w:val="1F2937"/>
          <w:sz w:val="21"/>
        </w:rPr>
        <w:t xml:space="preserve">A fundamental rule of enterprise systems engineering: </w:t>
      </w:r>
      <w:r>
        <w:rPr>
          <w:rFonts w:ascii="Calibri" w:hAnsi="Calibri"/>
          <w:b/>
          <w:color w:val="1F2937"/>
          <w:sz w:val="21"/>
        </w:rPr>
        <w:t>Never allow a probabilistic Large Language Model to directly execute unmediated production cloud operations or touch raw data rows.</w:t>
      </w:r>
    </w:p>
    <w:p>
      <w:pPr>
        <w:spacing w:before="40" w:after="120" w:line="276" w:lineRule="auto"/>
      </w:pPr>
      <w:r>
        <w:rPr>
          <w:rFonts w:ascii="Calibri" w:hAnsi="Calibri"/>
          <w:color w:val="1F2937"/>
          <w:sz w:val="21"/>
        </w:rPr>
        <w:t xml:space="preserve">NexusLake enforces this through a strict </w:t>
      </w:r>
      <w:r>
        <w:rPr>
          <w:rFonts w:ascii="Calibri" w:hAnsi="Calibri"/>
          <w:b/>
          <w:color w:val="1F2937"/>
          <w:sz w:val="21"/>
        </w:rPr>
        <w:t>4-Plane Decoupled Architecture</w:t>
      </w:r>
      <w:r>
        <w:rPr>
          <w:rFonts w:ascii="Calibri" w:hAnsi="Calibri"/>
          <w:color w:val="1F2937"/>
          <w:sz w:val="21"/>
        </w:rPr>
        <w:t>:</w:t>
      </w:r>
    </w:p>
    <w:tbl>
      <w:tblPr>
        <w:tblW w:type="auto" w:w="0"/>
        <w:jc w:val="center"/>
        <w:tblLayout w:type="fixed"/>
        <w:tblLook w:firstColumn="1" w:firstRow="1" w:lastColumn="0" w:lastRow="0" w:noHBand="0" w:noVBand="1" w:val="04A0"/>
        <w:tblBorders>
          <w:top w:val="single" w:sz="6" w:space="0" w:color="334155"/>
          <w:bottom w:val="single" w:sz="6" w:space="0" w:color="334155"/>
          <w:left w:val="single" w:sz="6" w:space="0" w:color="334155"/>
          <w:right w:val="single" w:sz="6" w:space="0" w:color="334155"/>
          <w:insideH w:val="none"/>
          <w:insideV w:val="none"/>
        </w:tblBorders>
      </w:tblPr>
      <w:tblGrid>
        <w:gridCol w:w="9360"/>
      </w:tblGrid>
      <w:tr>
        <w:tc>
          <w:tcPr>
            <w:tcW w:type="dxa" w:w="9360"/>
            <w:shd w:fill="0F172A"/>
            <w:tcMar>
              <w:top w:w="140" w:type="dxa"/>
              <w:bottom w:w="140" w:type="dxa"/>
              <w:left w:w="200" w:type="dxa"/>
              <w:right w:w="200" w:type="dxa"/>
            </w:tcMar>
          </w:tcPr>
          <w:p>
            <w:pPr>
              <w:spacing w:after="80"/>
            </w:pPr>
            <w:r>
              <w:rPr>
                <w:rFonts w:ascii="Consolas" w:hAnsi="Consolas"/>
                <w:b/>
                <w:color w:val="60A5FA"/>
                <w:sz w:val="17"/>
              </w:rPr>
              <w:t>CODE [MERMAID]</w:t>
            </w:r>
          </w:p>
          <w:p>
            <w:pPr>
              <w:spacing w:before="0" w:after="0" w:line="276" w:lineRule="auto"/>
            </w:pPr>
            <w:r>
              <w:rPr>
                <w:rFonts w:ascii="Consolas" w:hAnsi="Consolas"/>
                <w:color w:val="F1F5F9"/>
                <w:sz w:val="18"/>
              </w:rPr>
              <w:t>flowchart TB</w:t>
              <w:br/>
              <w:t xml:space="preserve">    classDef cControl fill:#312E81,stroke:#6366F1,stroke-width:2px,color:#EEF2FF,font-weight:bold;</w:t>
              <w:br/>
              <w:t xml:space="preserve">    classDef cIntel fill:#4C1D95,stroke:#8B5CF6,stroke-width:2px,color:#F5F3FF,font-weight:bold;</w:t>
              <w:br/>
              <w:t xml:space="preserve">    classDef cFirewall fill:#7F1D1D,stroke:#EF4444,stroke-width:2px,color:#FEF2F2,font-weight:bold;</w:t>
              <w:br/>
              <w:t xml:space="preserve">    classDef cExec fill:#064E3B,stroke:#10B981,stroke-width:2px,color:#ECFDF5,font-weight:bold;</w:t>
              <w:br/>
              <w:t xml:space="preserve">    classDef cStorage fill:#0F172A,stroke:#38BDF8,stroke-width:2px,color:#E0F2FE,font-weight:bold;</w:t>
              <w:br/>
              <w:t xml:space="preserve">    classDef cEngine fill:#1E1B4B,stroke:#818CF8,stroke-width:2px,color:#FFFFFF,font-weight:bold;</w:t>
              <w:br/>
              <w:br/>
              <w:t xml:space="preserve">    subgraph SaaS_CP["NexusLake SaaS Control Plane (AI Reasoning &amp; Orchestration)"]</w:t>
              <w:br/>
              <w:t xml:space="preserve">        GEMINI["Gemini 3.1 Pro &amp; Gemini 3 Flash Agents"]:::cControl</w:t>
              <w:br/>
              <w:t xml:space="preserve">        WAVE["NetworkX Topological Wave Solver"]:::cControl</w:t>
              <w:br/>
              <w:t xml:space="preserve">        TRANSPILER["AST Legacy Transpiler (SQLGlot)"]:::cControl</w:t>
              <w:br/>
              <w:t xml:space="preserve">        COCKPIT["Modernization Cockpit (FastAPI + React 18 SPA)"]:::cControl</w:t>
              <w:br/>
              <w:t xml:space="preserve">    end</w:t>
              <w:br/>
              <w:br/>
              <w:t xml:space="preserve">    subgraph IntelPlane["Data Intelligence Plane (Zero PII Metadata Graph)"]</w:t>
              <w:br/>
              <w:t xml:space="preserve">        DATAASSET["Canonical DataAsset Graph Model"]:::cIntel</w:t>
              <w:br/>
              <w:t xml:space="preserve">        SKETCH["Statistical Sketches (HyperLogLog &amp; MinHash)"]:::cIntel</w:t>
              <w:br/>
              <w:t xml:space="preserve">        LINEAGE["Entity Lineage &amp; Domain Ontologies"]:::cIntel</w:t>
              <w:br/>
              <w:t xml:space="preserve">    end</w:t>
              <w:br/>
              <w:br/>
              <w:t xml:space="preserve">    subgraph SecurityBoundary["Zero Trust Action Firewall Boundary"]</w:t>
              <w:br/>
              <w:t xml:space="preserve">        GUARD["AgentGuard Policy Firewall&lt;br/&gt;- Destructive DDL Blocker (DROP/TRUNCATE)&lt;br/&gt;- FinOps Cost Budget Ceiling&lt;br/&gt;- Multi-Sig Human Approval Gate"]:::cFirewall</w:t>
              <w:br/>
              <w:t xml:space="preserve">        PSC["Google Cloud Private Service Connect (PSC)&lt;br/&gt;+ Workload Identity Federation (WIF)"]:::cFirewall</w:t>
              <w:br/>
              <w:t xml:space="preserve">    end</w:t>
              <w:br/>
              <w:br/>
              <w:t xml:space="preserve">    subgraph Customer_VPC["Customer Google Cloud VPC (Zero Data Egress Perimeter)"]</w:t>
              <w:br/>
              <w:t xml:space="preserve">        subgraph ExecPlane["Deterministic Execution Plane"]</w:t>
              <w:br/>
              <w:t xml:space="preserve">            SPARK["Google Cloud Serverless Spark&lt;br/&gt;(Batch Load &amp; Transpiled DAGs)"]:::cExec</w:t>
              <w:br/>
              <w:t xml:space="preserve">            STREAM["Google Cloud Datastream&lt;br/&gt;(Zero-Downtime CDC Ingestion)"]:::cExec</w:t>
              <w:br/>
              <w:t xml:space="preserve">            CLEANSER["Data Hygiene Engine&lt;br/&gt;(FPE Tokenization &amp; Imputation)"]:::cExec</w:t>
              <w:br/>
              <w:t xml:space="preserve">            PROOF_ENG["Four-Tier Proof Engine&lt;br/&gt;(Commutative XOR Merkle Hash)"]:::cExec</w:t>
              <w:br/>
              <w:t xml:space="preserve">        end</w:t>
              <w:br/>
              <w:br/>
              <w:t xml:space="preserve">        subgraph LakehousePlane["Governed Lakehouse Storage Plane"]</w:t>
              <w:br/>
              <w:t xml:space="preserve">            GCS["Google Cloud Storage&lt;br/&gt;(Iceberg Parquet Chunks 256MB)"]:::cStorage</w:t>
              <w:br/>
              <w:t xml:space="preserve">            REST_CAT["BigLake Iceberg REST Catalog&lt;br/&gt;(ACID Commits &amp; Optimistic Concurrency)"]:::cStorage</w:t>
              <w:br/>
              <w:t xml:space="preserve">            DATAPLEX["Google Cloud Dataplex&lt;br/&gt;(Policy Tags, CLS &amp; RLS Masking)"]:::cStorage</w:t>
              <w:br/>
              <w:t xml:space="preserve">        end</w:t>
              <w:br/>
              <w:t xml:space="preserve">    end</w:t>
              <w:br/>
              <w:br/>
              <w:t xml:space="preserve">    subgraph ConsumptionLayer["Open Analytical &amp; AI Engines"]</w:t>
              <w:br/>
              <w:t xml:space="preserve">        BQ["BigQuery BI Engine"]:::cEngine</w:t>
              <w:br/>
              <w:t xml:space="preserve">        SPARK_QUERY["Serverless Spark SQL"]:::cEngine</w:t>
              <w:br/>
              <w:t xml:space="preserve">        TRINO["Trino / DuckDB"]:::cEngine</w:t>
              <w:br/>
              <w:t xml:space="preserve">        VERTEX["Vertex AI &amp; Vector Search"]:::cEngine</w:t>
              <w:br/>
              <w:t xml:space="preserve">    end</w:t>
              <w:br/>
              <w:br/>
              <w:t xml:space="preserve">    COCKPIT &lt;--&gt; GEMINI</w:t>
              <w:br/>
              <w:t xml:space="preserve">    GEMINI &lt;--&gt; DATAASSET</w:t>
              <w:br/>
              <w:t xml:space="preserve">    DATAASSET --- SKETCH</w:t>
              <w:br/>
              <w:t xml:space="preserve">    DATAASSET --- LINEAGE</w:t>
              <w:br/>
              <w:br/>
              <w:t xml:space="preserve">    GEMINI --&gt;|Proposed Migration Actions| GUARD</w:t>
              <w:br/>
              <w:t xml:space="preserve">    GUARD --&gt;|Authorized &amp; Signed Blueprints| PSC</w:t>
              <w:br/>
              <w:t xml:space="preserve">    PSC --&gt;|Private Egress-Free RPC| ExecPlane</w:t>
              <w:br/>
              <w:br/>
              <w:t xml:space="preserve">    ExecPlane --&gt;|Writes Manifests &amp; Parquet| LakehousePlane</w:t>
              <w:br/>
              <w:t xml:space="preserve">    LakehousePlane --&gt;|Table Federation| ConsumptionLayer</w:t>
              <w:br/>
              <w:br/>
              <w:t xml:space="preserve">    PROOF_ENG --&gt;|Cryptographic Certificate| COCKPIT</w:t>
            </w:r>
          </w:p>
        </w:tc>
      </w:tr>
    </w:tbl>
    <w:p>
      <w:pPr>
        <w:spacing w:before="80" w:after="80"/>
      </w:pPr>
    </w:p>
    <w:p>
      <w:pPr>
        <w:spacing w:before="240" w:after="80"/>
      </w:pPr>
      <w:r>
        <w:rPr>
          <w:rFonts w:ascii="Calibri" w:hAnsi="Calibri"/>
          <w:b/>
          <w:color w:val="1E40AF"/>
          <w:sz w:val="26"/>
        </w:rPr>
        <w:t>The Four Architectural Planes:</w:t>
      </w:r>
    </w:p>
    <w:p>
      <w:pPr>
        <w:pStyle w:val="ListNumber"/>
        <w:spacing w:before="20" w:after="40"/>
        <w:ind w:left="360"/>
      </w:pPr>
      <w:r>
        <w:rPr>
          <w:rFonts w:ascii="Calibri" w:hAnsi="Calibri"/>
          <w:b/>
          <w:color w:val="1F2937"/>
          <w:sz w:val="21"/>
        </w:rPr>
        <w:t>Agentic Control Plane:</w:t>
      </w:r>
      <w:r>
        <w:rPr>
          <w:rFonts w:ascii="Calibri" w:hAnsi="Calibri"/>
          <w:color w:val="1F2937"/>
          <w:sz w:val="21"/>
        </w:rPr>
        <w:t xml:space="preserve"> Houses the multi-agent reasoning mesh powered by </w:t>
      </w:r>
      <w:r>
        <w:rPr>
          <w:rFonts w:ascii="Calibri" w:hAnsi="Calibri"/>
          <w:b/>
          <w:color w:val="1F2937"/>
          <w:sz w:val="21"/>
        </w:rPr>
        <w:t>Gemini 3.1 Pro</w:t>
      </w:r>
      <w:r>
        <w:rPr>
          <w:rFonts w:ascii="Calibri" w:hAnsi="Calibri"/>
          <w:color w:val="1F2937"/>
          <w:sz w:val="21"/>
        </w:rPr>
        <w:t xml:space="preserve"> (for deep code transpilation and dependency reasoning) and </w:t>
      </w:r>
      <w:r>
        <w:rPr>
          <w:rFonts w:ascii="Calibri" w:hAnsi="Calibri"/>
          <w:b/>
          <w:color w:val="1F2937"/>
          <w:sz w:val="21"/>
        </w:rPr>
        <w:t>Gemini 3 Flash</w:t>
      </w:r>
      <w:r>
        <w:rPr>
          <w:rFonts w:ascii="Calibri" w:hAnsi="Calibri"/>
          <w:color w:val="1F2937"/>
          <w:sz w:val="21"/>
        </w:rPr>
        <w:t xml:space="preserve"> (for sub-second profiling and telemetry).</w:t>
      </w:r>
    </w:p>
    <w:p>
      <w:pPr>
        <w:pStyle w:val="ListNumber"/>
        <w:spacing w:before="20" w:after="40"/>
        <w:ind w:left="360"/>
      </w:pPr>
      <w:r>
        <w:rPr>
          <w:rFonts w:ascii="Calibri" w:hAnsi="Calibri"/>
          <w:b/>
          <w:color w:val="1F2937"/>
          <w:sz w:val="21"/>
        </w:rPr>
        <w:t>Data Intelligence Plane:</w:t>
      </w:r>
      <w:r>
        <w:rPr>
          <w:rFonts w:ascii="Calibri" w:hAnsi="Calibri"/>
          <w:color w:val="1F2937"/>
          <w:sz w:val="21"/>
        </w:rPr>
        <w:t xml:space="preserve"> Holds the technology-neutral canonical </w:t>
      </w:r>
      <w:r>
        <w:rPr>
          <w:rFonts w:ascii="Consolas" w:hAnsi="Consolas"/>
          <w:color w:val="B91C1C"/>
          <w:sz w:val="19"/>
        </w:rPr>
        <w:t>DataAsset</w:t>
      </w:r>
      <w:r>
        <w:rPr>
          <w:rFonts w:ascii="Calibri" w:hAnsi="Calibri"/>
          <w:color w:val="1F2937"/>
          <w:sz w:val="21"/>
        </w:rPr>
        <w:t xml:space="preserve"> model. Agents reason exclusively over metadata, column schemas, and differential-privacy statistical sketches. </w:t>
      </w:r>
      <w:r>
        <w:rPr>
          <w:rFonts w:ascii="Calibri" w:hAnsi="Calibri"/>
          <w:b/>
          <w:color w:val="1F2937"/>
          <w:sz w:val="21"/>
        </w:rPr>
        <w:t>No customer raw data rows ever enter the AI context window.</w:t>
      </w:r>
    </w:p>
    <w:p>
      <w:pPr>
        <w:pStyle w:val="ListNumber"/>
        <w:spacing w:before="20" w:after="40"/>
        <w:ind w:left="360"/>
      </w:pPr>
      <w:r>
        <w:rPr>
          <w:rFonts w:ascii="Calibri" w:hAnsi="Calibri"/>
          <w:b/>
          <w:color w:val="1F2937"/>
          <w:sz w:val="21"/>
        </w:rPr>
        <w:t>Deterministic Execution Plane:</w:t>
      </w:r>
      <w:r>
        <w:rPr>
          <w:rFonts w:ascii="Calibri" w:hAnsi="Calibri"/>
          <w:color w:val="1F2937"/>
          <w:sz w:val="21"/>
        </w:rPr>
        <w:t xml:space="preserve"> Heavy lifting is handled exclusively by managed Google Cloud infrastructure: Serverless Spark, Datastream log-based CDC, and PyIceberg runtimes. All operations must pass through the </w:t>
      </w:r>
      <w:r>
        <w:rPr>
          <w:rFonts w:ascii="Calibri" w:hAnsi="Calibri"/>
          <w:b/>
          <w:color w:val="1F2937"/>
          <w:sz w:val="21"/>
        </w:rPr>
        <w:t>AgentGuard Policy Firewall</w:t>
      </w:r>
      <w:r>
        <w:rPr>
          <w:rFonts w:ascii="Calibri" w:hAnsi="Calibri"/>
          <w:color w:val="1F2937"/>
          <w:sz w:val="21"/>
        </w:rPr>
        <w:t>.</w:t>
      </w:r>
    </w:p>
    <w:p>
      <w:pPr>
        <w:pStyle w:val="ListNumber"/>
        <w:spacing w:before="20" w:after="40"/>
        <w:ind w:left="360"/>
      </w:pPr>
      <w:r>
        <w:rPr>
          <w:rFonts w:ascii="Calibri" w:hAnsi="Calibri"/>
          <w:b/>
          <w:color w:val="1F2937"/>
          <w:sz w:val="21"/>
        </w:rPr>
        <w:t>Governed Lakehouse Plane:</w:t>
      </w:r>
      <w:r>
        <w:rPr>
          <w:rFonts w:ascii="Calibri" w:hAnsi="Calibri"/>
          <w:color w:val="1F2937"/>
          <w:sz w:val="21"/>
        </w:rPr>
        <w:t xml:space="preserve"> Houses the physical GCS buckets, Apache Iceberg v2 manifest trees (</w:t>
      </w:r>
      <w:r>
        <w:rPr>
          <w:rFonts w:ascii="Consolas" w:hAnsi="Consolas"/>
          <w:color w:val="B91C1C"/>
          <w:sz w:val="19"/>
        </w:rPr>
        <w:t>.avro</w:t>
      </w:r>
      <w:r>
        <w:rPr>
          <w:rFonts w:ascii="Calibri" w:hAnsi="Calibri"/>
          <w:color w:val="1F2937"/>
          <w:sz w:val="21"/>
        </w:rPr>
        <w:t xml:space="preserve">), and </w:t>
      </w:r>
      <w:r>
        <w:rPr>
          <w:rFonts w:ascii="Calibri" w:hAnsi="Calibri"/>
          <w:b/>
          <w:color w:val="1F2937"/>
          <w:sz w:val="21"/>
        </w:rPr>
        <w:t>Google Cloud Dataplex Knowledge Catalog</w:t>
      </w:r>
      <w:r>
        <w:rPr>
          <w:rFonts w:ascii="Calibri" w:hAnsi="Calibri"/>
          <w:color w:val="1F2937"/>
          <w:sz w:val="21"/>
        </w:rPr>
        <w:t xml:space="preserve"> security policy tags.</w:t>
      </w:r>
    </w:p>
    <w:p>
      <w:pPr>
        <w:spacing w:before="160" w:after="160"/>
      </w:pPr>
      <w:r>
        <w:rPr>
          <w:color w:val="D1D5DB"/>
        </w:rPr>
        <w:t>―――――――――――――――――――――――――――――――――――――――――――――</w:t>
      </w:r>
    </w:p>
    <w:p>
      <w:pPr>
        <w:spacing w:before="320" w:after="120"/>
      </w:pPr>
      <w:r>
        <w:rPr>
          <w:rFonts w:ascii="Calibri" w:hAnsi="Calibri"/>
          <w:b/>
          <w:color w:val="2563EB"/>
          <w:sz w:val="32"/>
        </w:rPr>
        <w:t>4. Master System Mindmap: Architectural Pillars at a Glance</w:t>
      </w:r>
    </w:p>
    <w:p>
      <w:pPr>
        <w:spacing w:before="40" w:after="120" w:line="276" w:lineRule="auto"/>
      </w:pPr>
      <w:r>
        <w:rPr>
          <w:rFonts w:ascii="Calibri" w:hAnsi="Calibri"/>
          <w:color w:val="1F2937"/>
          <w:sz w:val="21"/>
        </w:rPr>
        <w:t>The following mindmap outlines the complete architectural taxonomy of NexusLake—spanning source connectors, agent roles, migration strategies, security controls, proof mechanisms, and autonomic Day-2 operations:</w:t>
      </w:r>
    </w:p>
    <w:tbl>
      <w:tblPr>
        <w:tblW w:type="auto" w:w="0"/>
        <w:jc w:val="center"/>
        <w:tblLayout w:type="fixed"/>
        <w:tblLook w:firstColumn="1" w:firstRow="1" w:lastColumn="0" w:lastRow="0" w:noHBand="0" w:noVBand="1" w:val="04A0"/>
        <w:tblBorders>
          <w:top w:val="single" w:sz="6" w:space="0" w:color="334155"/>
          <w:bottom w:val="single" w:sz="6" w:space="0" w:color="334155"/>
          <w:left w:val="single" w:sz="6" w:space="0" w:color="334155"/>
          <w:right w:val="single" w:sz="6" w:space="0" w:color="334155"/>
          <w:insideH w:val="none"/>
          <w:insideV w:val="none"/>
        </w:tblBorders>
      </w:tblPr>
      <w:tblGrid>
        <w:gridCol w:w="9360"/>
      </w:tblGrid>
      <w:tr>
        <w:tc>
          <w:tcPr>
            <w:tcW w:type="dxa" w:w="9360"/>
            <w:shd w:fill="0F172A"/>
            <w:tcMar>
              <w:top w:w="140" w:type="dxa"/>
              <w:bottom w:w="140" w:type="dxa"/>
              <w:left w:w="200" w:type="dxa"/>
              <w:right w:w="200" w:type="dxa"/>
            </w:tcMar>
          </w:tcPr>
          <w:p>
            <w:pPr>
              <w:spacing w:after="80"/>
            </w:pPr>
            <w:r>
              <w:rPr>
                <w:rFonts w:ascii="Consolas" w:hAnsi="Consolas"/>
                <w:b/>
                <w:color w:val="60A5FA"/>
                <w:sz w:val="17"/>
              </w:rPr>
              <w:t>CODE [MERMAID]</w:t>
            </w:r>
          </w:p>
          <w:p>
            <w:pPr>
              <w:spacing w:before="0" w:after="0" w:line="276" w:lineRule="auto"/>
            </w:pPr>
            <w:r>
              <w:rPr>
                <w:rFonts w:ascii="Consolas" w:hAnsi="Consolas"/>
                <w:color w:val="F1F5F9"/>
                <w:sz w:val="18"/>
              </w:rPr>
              <w:t>flowchart LR</w:t>
              <w:br/>
              <w:t xml:space="preserve">    classDef cRoot fill:#1E1B4B,stroke:#818CF8,stroke-width:3px,color:#FFFFFF,font-weight:bold;</w:t>
              <w:br/>
              <w:t xml:space="preserve">    classDef cBranch1 fill:#1E293B,stroke:#3B82F6,stroke-width:2px,color:#93C5FD,font-weight:bold;</w:t>
              <w:br/>
              <w:t xml:space="preserve">    classDef cBranch2 fill:#1E293B,stroke:#8B5CF6,stroke-width:2px,color:#C4B5FD,font-weight:bold;</w:t>
              <w:br/>
              <w:t xml:space="preserve">    classDef cBranch3 fill:#1E293B,stroke:#10B981,stroke-width:2px,color:#6EE7B7,font-weight:bold;</w:t>
              <w:br/>
              <w:t xml:space="preserve">    classDef cBranch4 fill:#1E293B,stroke:#EF4444,stroke-width:2px,color:#FCA5A5,font-weight:bold;</w:t>
              <w:br/>
              <w:t xml:space="preserve">    classDef cBranch5 fill:#1E293B,stroke:#F59E0B,stroke-width:2px,color:#FCD34D,font-weight:bold;</w:t>
              <w:br/>
              <w:t xml:space="preserve">    classDef cBranch6 fill:#1E293B,stroke:#06B6D4,stroke-width:2px,color:#67E8F9,font-weight:bold;</w:t>
              <w:br/>
              <w:t xml:space="preserve">    classDef cLeaf fill:#0F172A,stroke:#64748B,stroke-width:1px,color:#F1F5F9;</w:t>
              <w:br/>
              <w:br/>
              <w:t xml:space="preserve">    ROOT["NexusLake Agentic Architect&lt;br/&gt;(Autonomous Iceberg Modernization)"]:::cRoot</w:t>
              <w:br/>
              <w:br/>
              <w:t xml:space="preserve">    %% Branch 1: Sources</w:t>
              <w:br/>
              <w:t xml:space="preserve">    B_SRC["Heterogeneous Sources"]:::cBranch1</w:t>
              <w:br/>
              <w:t xml:space="preserve">    ROOT --&gt; B_SRC</w:t>
              <w:br/>
              <w:t xml:space="preserve">    B_SRC --&gt; S_REL["Relational (Oracle, DB2, Postgres, SQL Server)"]:::cLeaf</w:t>
              <w:br/>
              <w:t xml:space="preserve">    B_SRC --&gt; S_DW["Data Warehouses (Teradata, Snowflake, Redshift)"]:::cLeaf</w:t>
              <w:br/>
              <w:t xml:space="preserve">    B_SRC --&gt; S_NOSQL["NoSQL &amp; JSON (MongoDB, Cassandra, DynamoDB)"]:::cLeaf</w:t>
              <w:br/>
              <w:t xml:space="preserve">    B_SRC --&gt; S_LAKE["Legacy Lakes (AWS S3, GCS Parquet/ORC, CSV)"]:::cLeaf</w:t>
              <w:br/>
              <w:t xml:space="preserve">    B_SRC --&gt; S_STREAM["Streaming (Kafka, Cloud Pub/Sub, Datastream)"]:::cLeaf</w:t>
              <w:br/>
              <w:t xml:space="preserve">    B_SRC --&gt; S_MEDIA["Multimodal Media (PDFs, Audio Calls, Images)"]:::cLeaf</w:t>
              <w:br/>
              <w:br/>
              <w:t xml:space="preserve">    %% Branch 2: Agents</w:t>
              <w:br/>
              <w:t xml:space="preserve">    B_AGENTS["14 Specialized Agents"]:::cBranch2</w:t>
              <w:br/>
              <w:t xml:space="preserve">    ROOT --&gt; B_AGENTS</w:t>
              <w:br/>
              <w:t xml:space="preserve">    B_AGENTS --&gt; A_DISC["EstateDiscoveryAgent (Gemini 3 Flash)"]:::cLeaf</w:t>
              <w:br/>
              <w:t xml:space="preserve">    B_AGENTS --&gt; A_STRAT["StrategyPlannerAgent (Gemini 3.1 Pro)"]:::cLeaf</w:t>
              <w:br/>
              <w:t xml:space="preserve">    B_AGENTS --&gt; A_TRANS["PipelineTranspilerAgent (Gemini 3.1 Pro)"]:::cLeaf</w:t>
              <w:br/>
              <w:t xml:space="preserve">    B_AGENTS --&gt; A_PROOF["MigrationProofEngine (Merkle XOR)"]:::cLeaf</w:t>
              <w:br/>
              <w:t xml:space="preserve">    B_AGENTS --&gt; A_SRE["LakehouseSREAgent (FinOps Compactor)"]:::cLeaf</w:t>
              <w:br/>
              <w:t xml:space="preserve">    B_AGENTS --&gt; A_SEC["SecurityComplianceAgent (Dataplex &amp; FPE)"]:::cLeaf</w:t>
              <w:br/>
              <w:t xml:space="preserve">    B_AGENTS --&gt; A_MULTI["MultimodalVectorizerAgent (Vertex AI)"]:::cLeaf</w:t>
              <w:br/>
              <w:br/>
              <w:t xml:space="preserve">    %% Branch 3: Strategies</w:t>
              <w:br/>
              <w:t xml:space="preserve">    B_STRAT["10 Migration Strategies"]:::cBranch3</w:t>
              <w:br/>
              <w:t xml:space="preserve">    ROOT --&gt; B_STRAT</w:t>
              <w:br/>
              <w:t xml:space="preserve">    B_STRAT --&gt; ST_REG["REGISTER (Zero-Copy Metadata Pointers)"]:::cLeaf</w:t>
              <w:br/>
              <w:t xml:space="preserve">    B_STRAT --&gt; ST_CDC["CDC (Google Cloud Datastream &lt;2s Lag)"]:::cLeaf</w:t>
              <w:br/>
              <w:t xml:space="preserve">    B_STRAT --&gt; ST_REP["REPLICATE (Serverless Spark Batch Load)"]:::cLeaf</w:t>
              <w:br/>
              <w:t xml:space="preserve">    B_STRAT --&gt; ST_TRANS["TRANSFORM (NoSQL Unnesting to Structs)"]:::cLeaf</w:t>
              <w:br/>
              <w:t xml:space="preserve">    B_STRAT --&gt; ST_REW["REWRITE (Sanitization &amp; Dead-Lettering)"]:::cLeaf</w:t>
              <w:br/>
              <w:t xml:space="preserve">    B_STRAT --&gt; ST_PART["REPARTITION (Iceberg Hidden Transforms)"]:::cLeaf</w:t>
              <w:br/>
              <w:t xml:space="preserve">    B_STRAT --&gt; ST_ARCH["ARCHIVE (Cold Storage Tiering to GCS)"]:::cLeaf</w:t>
              <w:br/>
              <w:br/>
              <w:t xml:space="preserve">    %% Branch 4: Security</w:t>
              <w:br/>
              <w:t xml:space="preserve">    B_SEC["Zero Trust Security"]:::cBranch4</w:t>
              <w:br/>
              <w:t xml:space="preserve">    ROOT --&gt; B_SEC</w:t>
              <w:br/>
              <w:t xml:space="preserve">    B_SEC --&gt; SEC_VPC["Zero-Egress Customer VPC (Raw Data Protected)"]:::cLeaf</w:t>
              <w:br/>
              <w:t xml:space="preserve">    B_SEC --&gt; SEC_GUARD["AgentGuard Firewall (Blocks Destructive DDL)"]:::cLeaf</w:t>
              <w:br/>
              <w:t xml:space="preserve">    B_SEC --&gt; SEC_TAGS["Dataplex Policy Tags (CLS &amp; RLS Governance)"]:::cLeaf</w:t>
              <w:br/>
              <w:t xml:space="preserve">    B_SEC --&gt; SEC_FPE["Format-Preserving Encryption (PAN/Email Masking)"]:::cLeaf</w:t>
              <w:br/>
              <w:t xml:space="preserve">    B_SEC --&gt; SEC_WIF["Workload Identity Federation (Zero JSON Keys)"]:::cLeaf</w:t>
              <w:br/>
              <w:br/>
              <w:t xml:space="preserve">    %% Branch 5: Verification</w:t>
              <w:br/>
              <w:t xml:space="preserve">    B_VERIF["Four-Tier Proof Engine"]:::cBranch5</w:t>
              <w:br/>
              <w:t xml:space="preserve">    ROOT --&gt; B_VERIF</w:t>
              <w:br/>
              <w:t xml:space="preserve">    B_VERIF --&gt; V_T1["Tier 1: Structural Schema Fingerprint Match"]:::cLeaf</w:t>
              <w:br/>
              <w:t xml:space="preserve">    B_VERIF --&gt; V_T2["Tier 2: Statistical Cardinality &amp; HLL Parity"]:::cLeaf</w:t>
              <w:br/>
              <w:t xml:space="preserve">    B_VERIF --&gt; V_T3["Tier 3: Commutative XOR Merkle Hash (⨁ SHA256)"]:::cLeaf</w:t>
              <w:br/>
              <w:t xml:space="preserve">    B_VERIF --&gt; V_T4["Tier 4: Semantic Financial Moment Parity"]:::cLeaf</w:t>
              <w:br/>
              <w:br/>
              <w:t xml:space="preserve">    %% Branch 6: Day-2 Ops</w:t>
              <w:br/>
              <w:t xml:space="preserve">    B_OPS["Autonomic Day-2 FinOps"]:::cBranch6</w:t>
              <w:br/>
              <w:t xml:space="preserve">    ROOT --&gt; B_OPS</w:t>
              <w:br/>
              <w:t xml:space="preserve">    B_OPS --&gt; O_ROI["FinOps Compaction ROI Gate (Threshold &gt;= 2.5x)"]:::cLeaf</w:t>
              <w:br/>
              <w:t xml:space="preserve">    B_OPS --&gt; O_BIN["rewrite_data_files (256MB Bin-Packing)"]:::cLeaf</w:t>
              <w:br/>
              <w:t xml:space="preserve">    B_OPS --&gt; O_SNAP["Snapshot Expiration &amp; Orphan File Vacuum"]:::cLeaf</w:t>
              <w:br/>
              <w:t xml:space="preserve">    B_OPS --&gt; O_HEAL["Schema Healer (Safe Evolution vs Quarantine)"]:::cLeaf</w:t>
            </w:r>
          </w:p>
        </w:tc>
      </w:tr>
    </w:tbl>
    <w:p>
      <w:pPr>
        <w:spacing w:before="80" w:after="80"/>
      </w:pPr>
    </w:p>
    <w:p>
      <w:pPr>
        <w:spacing w:before="160" w:after="160"/>
      </w:pPr>
      <w:r>
        <w:rPr>
          <w:color w:val="D1D5DB"/>
        </w:rPr>
        <w:t>―――――――――――――――――――――――――――――――――――――――――――――</w:t>
      </w:r>
    </w:p>
    <w:p>
      <w:pPr>
        <w:spacing w:before="320" w:after="120"/>
      </w:pPr>
      <w:r>
        <w:rPr>
          <w:rFonts w:ascii="Calibri" w:hAnsi="Calibri"/>
          <w:b/>
          <w:color w:val="2563EB"/>
          <w:sz w:val="32"/>
        </w:rPr>
        <w:t>5. The 12-Stage Modernization Lifecycle &amp; 10 Autonomous Strategies</w:t>
      </w:r>
    </w:p>
    <w:p>
      <w:pPr>
        <w:spacing w:before="40" w:after="120" w:line="276" w:lineRule="auto"/>
      </w:pPr>
      <w:r>
        <w:rPr>
          <w:rFonts w:ascii="Calibri" w:hAnsi="Calibri"/>
          <w:color w:val="1F2937"/>
          <w:sz w:val="21"/>
        </w:rPr>
        <w:t>Every asset modernizes through a 12-stage lifecycle. The workflow below is grouped into four distinct operational phases:</w:t>
      </w:r>
    </w:p>
    <w:tbl>
      <w:tblPr>
        <w:tblW w:type="auto" w:w="0"/>
        <w:jc w:val="center"/>
        <w:tblLayout w:type="fixed"/>
        <w:tblLook w:firstColumn="1" w:firstRow="1" w:lastColumn="0" w:lastRow="0" w:noHBand="0" w:noVBand="1" w:val="04A0"/>
        <w:tblBorders>
          <w:top w:val="single" w:sz="6" w:space="0" w:color="334155"/>
          <w:bottom w:val="single" w:sz="6" w:space="0" w:color="334155"/>
          <w:left w:val="single" w:sz="6" w:space="0" w:color="334155"/>
          <w:right w:val="single" w:sz="6" w:space="0" w:color="334155"/>
          <w:insideH w:val="none"/>
          <w:insideV w:val="none"/>
        </w:tblBorders>
      </w:tblPr>
      <w:tblGrid>
        <w:gridCol w:w="9360"/>
      </w:tblGrid>
      <w:tr>
        <w:tc>
          <w:tcPr>
            <w:tcW w:type="dxa" w:w="9360"/>
            <w:shd w:fill="0F172A"/>
            <w:tcMar>
              <w:top w:w="140" w:type="dxa"/>
              <w:bottom w:w="140" w:type="dxa"/>
              <w:left w:w="200" w:type="dxa"/>
              <w:right w:w="200" w:type="dxa"/>
            </w:tcMar>
          </w:tcPr>
          <w:p>
            <w:pPr>
              <w:spacing w:after="80"/>
            </w:pPr>
            <w:r>
              <w:rPr>
                <w:rFonts w:ascii="Consolas" w:hAnsi="Consolas"/>
                <w:b/>
                <w:color w:val="60A5FA"/>
                <w:sz w:val="17"/>
              </w:rPr>
              <w:t>CODE [MERMAID]</w:t>
            </w:r>
          </w:p>
          <w:p>
            <w:pPr>
              <w:spacing w:before="0" w:after="0" w:line="276" w:lineRule="auto"/>
            </w:pPr>
            <w:r>
              <w:rPr>
                <w:rFonts w:ascii="Consolas" w:hAnsi="Consolas"/>
                <w:color w:val="F1F5F9"/>
                <w:sz w:val="18"/>
              </w:rPr>
              <w:t>flowchart TD</w:t>
              <w:br/>
              <w:t xml:space="preserve">    classDef cSource fill:#1E293B,stroke:#475569,stroke-width:2px,color:#F8FAFC,font-weight:bold;</w:t>
              <w:br/>
              <w:t xml:space="preserve">    classDef cDisc fill:#2563EB,stroke:#1D4ED8,stroke-width:2px,color:#FFFFFF,font-weight:bold;</w:t>
              <w:br/>
              <w:t xml:space="preserve">    classDef cAssess fill:#4F46E5,stroke:#3730A3,stroke-width:2px,color:#FFFFFF,font-weight:bold;</w:t>
              <w:br/>
              <w:t xml:space="preserve">    classDef cUnder fill:#7C3AED,stroke:#5B21B6,stroke-width:2px,color:#FFFFFF,font-weight:bold;</w:t>
              <w:br/>
              <w:t xml:space="preserve">    classDef cDecide fill:#9333EA,stroke:#6B21A8,stroke-width:2px,color:#FFFFFF,font-weight:bold;</w:t>
              <w:br/>
              <w:t xml:space="preserve">    classDef cDesign fill:#C026D3,stroke:#86198F,stroke-width:2px,color:#FFFFFF,font-weight:bold;</w:t>
              <w:br/>
              <w:t xml:space="preserve">    classDef cClean fill:#059669,stroke:#065F46,stroke-width:2px,color:#FFFFFF,font-weight:bold;</w:t>
              <w:br/>
              <w:t xml:space="preserve">    classDef cTrans fill:#D97706,stroke:#92400E,stroke-width:2px,color:#FFFFFF,font-weight:bold;</w:t>
              <w:br/>
              <w:t xml:space="preserve">    classDef cMigrate fill:#EA580C,stroke:#9A3412,stroke-width:2px,color:#FFFFFF,font-weight:bold;</w:t>
              <w:br/>
              <w:t xml:space="preserve">    classDef cValidate fill:#DC2626,stroke:#991B1B,stroke-width:2px,color:#FFFFFF,font-weight:bold;</w:t>
              <w:br/>
              <w:t xml:space="preserve">    classDef cGovern fill:#DB2777,stroke:#9D174D,stroke-width:2px,color:#FFFFFF,font-weight:bold;</w:t>
              <w:br/>
              <w:t xml:space="preserve">    classDef cOperate fill:#0891B2,stroke:#155E75,stroke-width:2px,color:#FFFFFF,font-weight:bold;</w:t>
              <w:br/>
              <w:t xml:space="preserve">    classDef cVisual fill:#0D9488,stroke:#115E59,stroke-width:2px,color:#FFFFFF,font-weight:bold;</w:t>
              <w:br/>
              <w:t xml:space="preserve">    classDef cTarget fill:#1E3A8A,stroke:#172554,stroke-width:3px,color:#60A5FA,font-weight:bold;</w:t>
              <w:br/>
              <w:br/>
              <w:t xml:space="preserve">    SRC["Heterogeneous Sources (RDBMS / Warehouses / NoSQL / S3 Lake / Streams)"]:::cSource</w:t>
              <w:br/>
              <w:br/>
              <w:t xml:space="preserve">    subgraph Phase1["Phase I: Intelligence &amp; Planning"]</w:t>
              <w:br/>
              <w:t xml:space="preserve">        S1["Stage 1: Discover&lt;br/&gt;(EstateDiscoveryAgent)"]:::cDisc</w:t>
              <w:br/>
              <w:t xml:space="preserve">        S2["Stage 2: Assess&lt;br/&gt;(ComplexityAssessmentAgent)"]:::cAssess</w:t>
              <w:br/>
              <w:t xml:space="preserve">        S3["Stage 3: Understand&lt;br/&gt;(SemanticOntologyAgent)"]:::cUnder</w:t>
              <w:br/>
              <w:t xml:space="preserve">        S4["Stage 4: Decide&lt;br/&gt;(StrategyPlannerAgent)"]:::cDecide</w:t>
              <w:br/>
              <w:t xml:space="preserve">        S5["Stage 5: Design&lt;br/&gt;(IcebergLayoutArchitect)"]:::cDesign</w:t>
              <w:br/>
              <w:t xml:space="preserve">    end</w:t>
              <w:br/>
              <w:br/>
              <w:t xml:space="preserve">    subgraph Phase2["Phase II: Sanitization &amp; Modernization"]</w:t>
              <w:br/>
              <w:t xml:space="preserve">        S6["Stage 6: Clean &amp; Sanitize&lt;br/&gt;(Data Studio &amp; Dataplex FPE)"]:::cClean</w:t>
              <w:br/>
              <w:t xml:space="preserve">        S7["Stage 7: Transform&lt;br/&gt;(PipelineTranspilerAgent)"]:::cTrans</w:t>
              <w:br/>
              <w:t xml:space="preserve">        S8["Stage 8: Migrate&lt;br/&gt;(Serverless Spark &amp; Datastream CDC)"]:::cMigrate</w:t>
              <w:br/>
              <w:t xml:space="preserve">    end</w:t>
              <w:br/>
              <w:br/>
              <w:t xml:space="preserve">    subgraph Phase3["Phase III: Verification &amp; Governance"]</w:t>
              <w:br/>
              <w:t xml:space="preserve">        S9["Stage 9: Validate&lt;br/&gt;(4-Tier Merkle Proof Engine)"]:::cValidate</w:t>
              <w:br/>
              <w:t xml:space="preserve">        S10["Stage 10: Govern&lt;br/&gt;(Dataplex Policy Tags &amp; CLS/RLS)"]:::cGovern</w:t>
              <w:br/>
              <w:t xml:space="preserve">    end</w:t>
              <w:br/>
              <w:br/>
              <w:t xml:space="preserve">    subgraph Phase4["Phase IV: Autonomic Day-2 Operations"]</w:t>
              <w:br/>
              <w:t xml:space="preserve">        S11["Stage 11: Operate&lt;br/&gt;(LakehouseSREAgent &amp; FinOps Compactor)"]:::cOperate</w:t>
              <w:br/>
              <w:t xml:space="preserve">        S12["Stage 12: Visualize&lt;br/&gt;(Modernization Cockpit Dashboard)"]:::cVisual</w:t>
              <w:br/>
              <w:t xml:space="preserve">    end</w:t>
              <w:br/>
              <w:br/>
              <w:t xml:space="preserve">    TGT["Open Apache Iceberg v2 Lakehouse&lt;br/&gt;(BigLake REST Catalog + BigQuery Queryability)"]:::cTarget</w:t>
              <w:br/>
              <w:br/>
              <w:t xml:space="preserve">    SRC --&gt; S1</w:t>
              <w:br/>
              <w:t xml:space="preserve">    S1 --&gt;|Schema &amp; Metadata Graph| S2</w:t>
              <w:br/>
              <w:t xml:space="preserve">    S2 --&gt;|Volume &amp; QPS Metrics| S3</w:t>
              <w:br/>
              <w:t xml:space="preserve">    S3 --&gt;|PII Tags &amp; Business Domain| S4</w:t>
              <w:br/>
              <w:t xml:space="preserve">    S4 --&gt;|10-Pattern Strategy &amp; Wave DAG| S5</w:t>
              <w:br/>
              <w:t xml:space="preserve">    S5 --&gt;|Partition Spec &amp; Sort Keys| S6</w:t>
              <w:br/>
              <w:t xml:space="preserve">    S6 --&gt;|Sanitized Dataset &amp; 100% Quality| S7</w:t>
              <w:br/>
              <w:t xml:space="preserve">    S7 --&gt;|Transpiled PySpark DAG &amp; AST| S8</w:t>
              <w:br/>
              <w:t xml:space="preserve">    S8 --&gt;|Iceberg v2 Parquet &amp; Manifests| S9</w:t>
              <w:br/>
              <w:t xml:space="preserve">    S9 --&gt;|Commutative XOR Hash Parity| S10</w:t>
              <w:br/>
              <w:t xml:space="preserve">    S10 --&gt;|Governed Table Policy| TGT</w:t>
              <w:br/>
              <w:t xml:space="preserve">    TGT --&gt; S11</w:t>
              <w:br/>
              <w:t xml:space="preserve">    S11 --&gt;|Compacted 256MB Chunks| S12</w:t>
              <w:br/>
              <w:t xml:space="preserve">    S11 -.-&gt;|Continuous Observe-Analyze-Optimize Loop| S11</w:t>
            </w:r>
          </w:p>
        </w:tc>
      </w:tr>
    </w:tbl>
    <w:p>
      <w:pPr>
        <w:spacing w:before="80" w:after="80"/>
      </w:pPr>
    </w:p>
    <w:p>
      <w:pPr>
        <w:spacing w:before="240" w:after="80"/>
      </w:pPr>
      <w:r>
        <w:rPr>
          <w:rFonts w:ascii="Calibri" w:hAnsi="Calibri"/>
          <w:b/>
          <w:color w:val="1E40AF"/>
          <w:sz w:val="26"/>
        </w:rPr>
        <w:t>The 10 Decision Strategies Explained:</w:t>
      </w:r>
    </w:p>
    <w:p>
      <w:pPr>
        <w:pStyle w:val="ListNumber"/>
        <w:spacing w:before="20" w:after="40"/>
        <w:ind w:left="360"/>
      </w:pPr>
      <w:r>
        <w:rPr>
          <w:rFonts w:ascii="Calibri" w:hAnsi="Calibri"/>
          <w:b/>
          <w:color w:val="1F2937"/>
          <w:sz w:val="21"/>
        </w:rPr>
        <w:t>`REGISTER`:</w:t>
      </w:r>
      <w:r>
        <w:rPr>
          <w:rFonts w:ascii="Calibri" w:hAnsi="Calibri"/>
          <w:color w:val="1F2937"/>
          <w:sz w:val="21"/>
        </w:rPr>
        <w:t xml:space="preserve"> Used when source data is clean Parquet/ORC on cloud storage. Direct registration into the BigLake REST Catalog without copying bytes.</w:t>
      </w:r>
    </w:p>
    <w:p>
      <w:pPr>
        <w:pStyle w:val="ListNumber"/>
        <w:spacing w:before="20" w:after="40"/>
        <w:ind w:left="360"/>
      </w:pPr>
      <w:r>
        <w:rPr>
          <w:rFonts w:ascii="Calibri" w:hAnsi="Calibri"/>
          <w:b/>
          <w:color w:val="1F2937"/>
          <w:sz w:val="21"/>
        </w:rPr>
        <w:t>`CDC`:</w:t>
      </w:r>
      <w:r>
        <w:rPr>
          <w:rFonts w:ascii="Calibri" w:hAnsi="Calibri"/>
          <w:color w:val="1F2937"/>
          <w:sz w:val="21"/>
        </w:rPr>
        <w:t xml:space="preserve"> Used when transactional tables exhibit write churn $&gt; 20$ queries per second (QPS). Configures Google Cloud Datastream for continuous log replication to Iceberg Merge-on-Read (MoR) tables.</w:t>
      </w:r>
    </w:p>
    <w:p>
      <w:pPr>
        <w:pStyle w:val="ListNumber"/>
        <w:spacing w:before="20" w:after="40"/>
        <w:ind w:left="360"/>
      </w:pPr>
      <w:r>
        <w:rPr>
          <w:rFonts w:ascii="Calibri" w:hAnsi="Calibri"/>
          <w:b/>
          <w:color w:val="1F2937"/>
          <w:sz w:val="21"/>
        </w:rPr>
        <w:t>`REPLICATE`:</w:t>
      </w:r>
      <w:r>
        <w:rPr>
          <w:rFonts w:ascii="Calibri" w:hAnsi="Calibri"/>
          <w:color w:val="1F2937"/>
          <w:sz w:val="21"/>
        </w:rPr>
        <w:t xml:space="preserve"> Used for static or append-only dimensional tables. Serverless Spark extracts data in parallel batches.</w:t>
      </w:r>
    </w:p>
    <w:p>
      <w:pPr>
        <w:pStyle w:val="ListNumber"/>
        <w:spacing w:before="20" w:after="40"/>
        <w:ind w:left="360"/>
      </w:pPr>
      <w:r>
        <w:rPr>
          <w:rFonts w:ascii="Calibri" w:hAnsi="Calibri"/>
          <w:b/>
          <w:color w:val="1F2937"/>
          <w:sz w:val="21"/>
        </w:rPr>
        <w:t>`TRANSFORM`:</w:t>
      </w:r>
      <w:r>
        <w:rPr>
          <w:rFonts w:ascii="Calibri" w:hAnsi="Calibri"/>
          <w:color w:val="1F2937"/>
          <w:sz w:val="21"/>
        </w:rPr>
        <w:t xml:space="preserve"> Used for MongoDB BSON or polymorphic JSON documents. Unnests dynamic structures into Iceberg typed </w:t>
      </w:r>
      <w:r>
        <w:rPr>
          <w:rFonts w:ascii="Consolas" w:hAnsi="Consolas"/>
          <w:color w:val="B91C1C"/>
          <w:sz w:val="19"/>
        </w:rPr>
        <w:t>struct&lt;...&gt;</w:t>
      </w:r>
      <w:r>
        <w:rPr>
          <w:rFonts w:ascii="Calibri" w:hAnsi="Calibri"/>
          <w:color w:val="1F2937"/>
          <w:sz w:val="21"/>
        </w:rPr>
        <w:t xml:space="preserve">, </w:t>
      </w:r>
      <w:r>
        <w:rPr>
          <w:rFonts w:ascii="Consolas" w:hAnsi="Consolas"/>
          <w:color w:val="B91C1C"/>
          <w:sz w:val="19"/>
        </w:rPr>
        <w:t>list&lt;...&gt;</w:t>
      </w:r>
      <w:r>
        <w:rPr>
          <w:rFonts w:ascii="Calibri" w:hAnsi="Calibri"/>
          <w:color w:val="1F2937"/>
          <w:sz w:val="21"/>
        </w:rPr>
        <w:t xml:space="preserve">, and </w:t>
      </w:r>
      <w:r>
        <w:rPr>
          <w:rFonts w:ascii="Consolas" w:hAnsi="Consolas"/>
          <w:color w:val="B91C1C"/>
          <w:sz w:val="19"/>
        </w:rPr>
        <w:t>map&lt;...&gt;</w:t>
      </w:r>
      <w:r>
        <w:rPr>
          <w:rFonts w:ascii="Calibri" w:hAnsi="Calibri"/>
          <w:color w:val="1F2937"/>
          <w:sz w:val="21"/>
        </w:rPr>
        <w:t xml:space="preserve"> schemas.</w:t>
      </w:r>
    </w:p>
    <w:p>
      <w:pPr>
        <w:pStyle w:val="ListNumber"/>
        <w:spacing w:before="20" w:after="40"/>
        <w:ind w:left="360"/>
      </w:pPr>
      <w:r>
        <w:rPr>
          <w:rFonts w:ascii="Calibri" w:hAnsi="Calibri"/>
          <w:b/>
          <w:color w:val="1F2937"/>
          <w:sz w:val="21"/>
        </w:rPr>
        <w:t>`REWRITE`:</w:t>
      </w:r>
      <w:r>
        <w:rPr>
          <w:rFonts w:ascii="Calibri" w:hAnsi="Calibri"/>
          <w:color w:val="1F2937"/>
          <w:sz w:val="21"/>
        </w:rPr>
        <w:t xml:space="preserve"> Triggered when null violations, string corruptions, or bad records exceed error thresholds. Imputes missing fields and dead-letters bad rows to quarantine buckets.</w:t>
      </w:r>
    </w:p>
    <w:p>
      <w:pPr>
        <w:pStyle w:val="ListNumber"/>
        <w:spacing w:before="20" w:after="40"/>
        <w:ind w:left="360"/>
      </w:pPr>
      <w:r>
        <w:rPr>
          <w:rFonts w:ascii="Calibri" w:hAnsi="Calibri"/>
          <w:b/>
          <w:color w:val="1F2937"/>
          <w:sz w:val="21"/>
        </w:rPr>
        <w:t>`REPARTITION`:</w:t>
      </w:r>
      <w:r>
        <w:rPr>
          <w:rFonts w:ascii="Calibri" w:hAnsi="Calibri"/>
          <w:color w:val="1F2937"/>
          <w:sz w:val="21"/>
        </w:rPr>
        <w:t xml:space="preserve"> Replaces poorly designed physical partitioning with Iceberg hidden partition transforms (</w:t>
      </w:r>
      <w:r>
        <w:rPr>
          <w:rFonts w:ascii="Consolas" w:hAnsi="Consolas"/>
          <w:color w:val="B91C1C"/>
          <w:sz w:val="19"/>
        </w:rPr>
        <w:t>days(timestamp)</w:t>
      </w:r>
      <w:r>
        <w:rPr>
          <w:rFonts w:ascii="Calibri" w:hAnsi="Calibri"/>
          <w:color w:val="1F2937"/>
          <w:sz w:val="21"/>
        </w:rPr>
        <w:t xml:space="preserve">, </w:t>
      </w:r>
      <w:r>
        <w:rPr>
          <w:rFonts w:ascii="Consolas" w:hAnsi="Consolas"/>
          <w:color w:val="B91C1C"/>
          <w:sz w:val="19"/>
        </w:rPr>
        <w:t>bucket(16, id)</w:t>
      </w:r>
      <w:r>
        <w:rPr>
          <w:rFonts w:ascii="Calibri" w:hAnsi="Calibri"/>
          <w:color w:val="1F2937"/>
          <w:sz w:val="21"/>
        </w:rPr>
        <w:t>).</w:t>
      </w:r>
    </w:p>
    <w:p>
      <w:pPr>
        <w:pStyle w:val="ListNumber"/>
        <w:spacing w:before="20" w:after="40"/>
        <w:ind w:left="360"/>
      </w:pPr>
      <w:r>
        <w:rPr>
          <w:rFonts w:ascii="Calibri" w:hAnsi="Calibri"/>
          <w:b/>
          <w:color w:val="1F2937"/>
          <w:sz w:val="21"/>
        </w:rPr>
        <w:t>`AGGREGATE`:</w:t>
      </w:r>
      <w:r>
        <w:rPr>
          <w:rFonts w:ascii="Calibri" w:hAnsi="Calibri"/>
          <w:color w:val="1F2937"/>
          <w:sz w:val="21"/>
        </w:rPr>
        <w:t xml:space="preserve"> Rolls up high-frequency IoT or telemetry feeds into pre-aggregated metrics.</w:t>
      </w:r>
    </w:p>
    <w:p>
      <w:pPr>
        <w:pStyle w:val="ListNumber"/>
        <w:spacing w:before="20" w:after="40"/>
        <w:ind w:left="360"/>
      </w:pPr>
      <w:r>
        <w:rPr>
          <w:rFonts w:ascii="Calibri" w:hAnsi="Calibri"/>
          <w:b/>
          <w:color w:val="1F2937"/>
          <w:sz w:val="21"/>
        </w:rPr>
        <w:t>`ARCHIVE`:</w:t>
      </w:r>
      <w:r>
        <w:rPr>
          <w:rFonts w:ascii="Calibri" w:hAnsi="Calibri"/>
          <w:color w:val="1F2937"/>
          <w:sz w:val="21"/>
        </w:rPr>
        <w:t xml:space="preserve"> Automatically tiers cold partitions unqueried for $&gt;12$ months into GCS Archive storage.</w:t>
      </w:r>
    </w:p>
    <w:p>
      <w:pPr>
        <w:pStyle w:val="ListNumber"/>
        <w:spacing w:before="20" w:after="40"/>
        <w:ind w:left="360"/>
      </w:pPr>
      <w:r>
        <w:rPr>
          <w:rFonts w:ascii="Calibri" w:hAnsi="Calibri"/>
          <w:b/>
          <w:color w:val="1F2937"/>
          <w:sz w:val="21"/>
        </w:rPr>
        <w:t>`VIRTUALIZE`:</w:t>
      </w:r>
      <w:r>
        <w:rPr>
          <w:rFonts w:ascii="Calibri" w:hAnsi="Calibri"/>
          <w:color w:val="1F2937"/>
          <w:sz w:val="21"/>
        </w:rPr>
        <w:t xml:space="preserve"> Exposes legacy systems via BigLake Object Tables without physically copying data.</w:t>
      </w:r>
    </w:p>
    <w:p>
      <w:pPr>
        <w:pStyle w:val="ListNumber"/>
        <w:spacing w:before="20" w:after="40"/>
        <w:ind w:left="360"/>
      </w:pPr>
      <w:r>
        <w:rPr>
          <w:rFonts w:ascii="Calibri" w:hAnsi="Calibri"/>
          <w:b/>
          <w:color w:val="1F2937"/>
          <w:sz w:val="21"/>
        </w:rPr>
        <w:t>`EXCLUDE`:</w:t>
      </w:r>
      <w:r>
        <w:rPr>
          <w:rFonts w:ascii="Calibri" w:hAnsi="Calibri"/>
          <w:color w:val="1F2937"/>
          <w:sz w:val="21"/>
        </w:rPr>
        <w:t xml:space="preserve"> Scans lineage to find dead, orphaned, or duplicate tables, pruning them from migration scope.</w:t>
      </w:r>
    </w:p>
    <w:p>
      <w:pPr>
        <w:spacing w:before="160" w:after="160"/>
      </w:pPr>
      <w:r>
        <w:rPr>
          <w:color w:val="D1D5DB"/>
        </w:rPr>
        <w:t>―――――――――――――――――――――――――――――――――――――――――――――</w:t>
      </w:r>
    </w:p>
    <w:p>
      <w:pPr>
        <w:spacing w:before="320" w:after="120"/>
      </w:pPr>
      <w:r>
        <w:rPr>
          <w:rFonts w:ascii="Calibri" w:hAnsi="Calibri"/>
          <w:b/>
          <w:color w:val="2563EB"/>
          <w:sz w:val="32"/>
        </w:rPr>
        <w:t>6. Developer Deep Dive: How the Core Components Were Engineered</w:t>
      </w:r>
    </w:p>
    <w:p>
      <w:pPr>
        <w:spacing w:before="40" w:after="120" w:line="276" w:lineRule="auto"/>
      </w:pPr>
      <w:r>
        <w:rPr>
          <w:rFonts w:ascii="Calibri" w:hAnsi="Calibri"/>
          <w:color w:val="1F2937"/>
          <w:sz w:val="21"/>
        </w:rPr>
        <w:t>Let us examine the Python implementations powering NexusLake.</w:t>
      </w:r>
    </w:p>
    <w:p>
      <w:pPr>
        <w:spacing w:before="240" w:after="80"/>
      </w:pPr>
      <w:r>
        <w:rPr>
          <w:rFonts w:ascii="Calibri" w:hAnsi="Calibri"/>
          <w:b/>
          <w:color w:val="1E40AF"/>
          <w:sz w:val="26"/>
        </w:rPr>
        <w:t>6.1 The Canonical DataAsset Model &amp; Differential Privacy Profiling</w:t>
      </w:r>
    </w:p>
    <w:p>
      <w:pPr>
        <w:spacing w:before="40" w:after="120" w:line="276" w:lineRule="auto"/>
      </w:pPr>
      <w:r>
        <w:rPr>
          <w:rFonts w:ascii="Calibri" w:hAnsi="Calibri"/>
          <w:color w:val="1F2937"/>
          <w:sz w:val="21"/>
        </w:rPr>
        <w:t xml:space="preserve">To prevent vendor coupling, NexusLake models everything through a single, vendor-neutral abstraction: the </w:t>
      </w:r>
      <w:r>
        <w:rPr>
          <w:rFonts w:ascii="Calibri" w:hAnsi="Calibri"/>
          <w:color w:val="2563EB"/>
          <w:sz w:val="21"/>
          <w:u w:val="single"/>
        </w:rPr>
        <w:t>`DataAsset`</w:t>
      </w:r>
      <w:r>
        <w:rPr>
          <w:rFonts w:ascii="Calibri" w:hAnsi="Calibri"/>
          <w:color w:val="1F2937"/>
          <w:sz w:val="21"/>
        </w:rPr>
        <w:t xml:space="preserve"> model.</w:t>
      </w:r>
    </w:p>
    <w:tbl>
      <w:tblPr>
        <w:tblW w:type="auto" w:w="0"/>
        <w:jc w:val="center"/>
        <w:tblLayout w:type="fixed"/>
        <w:tblLook w:firstColumn="1" w:firstRow="1" w:lastColumn="0" w:lastRow="0" w:noHBand="0" w:noVBand="1" w:val="04A0"/>
        <w:tblBorders>
          <w:top w:val="single" w:sz="6" w:space="0" w:color="334155"/>
          <w:bottom w:val="single" w:sz="6" w:space="0" w:color="334155"/>
          <w:left w:val="single" w:sz="6" w:space="0" w:color="334155"/>
          <w:right w:val="single" w:sz="6" w:space="0" w:color="334155"/>
          <w:insideH w:val="none"/>
          <w:insideV w:val="none"/>
        </w:tblBorders>
      </w:tblPr>
      <w:tblGrid>
        <w:gridCol w:w="9360"/>
      </w:tblGrid>
      <w:tr>
        <w:tc>
          <w:tcPr>
            <w:tcW w:type="dxa" w:w="9360"/>
            <w:shd w:fill="0F172A"/>
            <w:tcMar>
              <w:top w:w="140" w:type="dxa"/>
              <w:bottom w:w="140" w:type="dxa"/>
              <w:left w:w="200" w:type="dxa"/>
              <w:right w:w="200" w:type="dxa"/>
            </w:tcMar>
          </w:tcPr>
          <w:p>
            <w:pPr>
              <w:spacing w:after="80"/>
            </w:pPr>
            <w:r>
              <w:rPr>
                <w:rFonts w:ascii="Consolas" w:hAnsi="Consolas"/>
                <w:b/>
                <w:color w:val="60A5FA"/>
                <w:sz w:val="17"/>
              </w:rPr>
              <w:t>CODE [PYTHON]</w:t>
            </w:r>
          </w:p>
          <w:p>
            <w:pPr>
              <w:spacing w:before="0" w:after="0" w:line="276" w:lineRule="auto"/>
            </w:pPr>
            <w:r>
              <w:rPr>
                <w:rFonts w:ascii="Consolas" w:hAnsi="Consolas"/>
                <w:color w:val="F1F5F9"/>
                <w:sz w:val="18"/>
              </w:rPr>
              <w:t># src/models/data_asset.py</w:t>
              <w:br/>
              <w:t>class ColumnSpec(BaseModel):</w:t>
              <w:br/>
              <w:t xml:space="preserve">    name: str</w:t>
              <w:br/>
              <w:t xml:space="preserve">    original_type: str</w:t>
              <w:br/>
              <w:t xml:space="preserve">    target_iceberg_type: str</w:t>
              <w:br/>
              <w:t xml:space="preserve">    ordinal_position: int</w:t>
              <w:br/>
              <w:t xml:space="preserve">    is_nullable: bool = True</w:t>
              <w:br/>
              <w:t xml:space="preserve">    is_primary_key: bool = False</w:t>
              <w:br/>
              <w:t xml:space="preserve">    is_partition_key: bool = False</w:t>
              <w:br/>
              <w:t xml:space="preserve">    security_tag: Optional[SecurityClassification] = None</w:t>
              <w:br/>
              <w:br/>
              <w:t>class DataAsset(BaseModel):</w:t>
              <w:br/>
              <w:t xml:space="preserve">    id: str = Field(description="Format: &lt;source_id&gt;.&lt;database&gt;.&lt;schema&gt;.&lt;name&gt;")</w:t>
              <w:br/>
              <w:t xml:space="preserve">    name: str</w:t>
              <w:br/>
              <w:t xml:space="preserve">    source_system: str</w:t>
              <w:br/>
              <w:t xml:space="preserve">    asset_type: AssetType</w:t>
              <w:br/>
              <w:t xml:space="preserve">    columns: List[ColumnSpec]</w:t>
              <w:br/>
              <w:t xml:space="preserve">    statistics: Dict[str, Any] = Field(default_factory=dict)</w:t>
              <w:br/>
              <w:t xml:space="preserve">    lineage_downstream: List[str] = Field(default_factory=list)</w:t>
              <w:br/>
              <w:t xml:space="preserve">    quality_profile: Optional[DataQualityScore] = None</w:t>
              <w:br/>
              <w:t xml:space="preserve">    recommended_strategy: Optional[MigrationStrategyEnum] = None</w:t>
            </w:r>
          </w:p>
        </w:tc>
      </w:tr>
    </w:tbl>
    <w:p>
      <w:pPr>
        <w:spacing w:before="80" w:after="80"/>
      </w:pPr>
    </w:p>
    <w:p>
      <w:pPr>
        <w:spacing w:before="40" w:after="120" w:line="276" w:lineRule="auto"/>
      </w:pPr>
      <w:r>
        <w:rPr>
          <w:rFonts w:ascii="Calibri" w:hAnsi="Calibri"/>
          <w:b/>
          <w:color w:val="1F2937"/>
          <w:sz w:val="21"/>
        </w:rPr>
        <w:t>Developer Insight:</w:t>
      </w:r>
      <w:r>
        <w:rPr>
          <w:rFonts w:ascii="Calibri" w:hAnsi="Calibri"/>
          <w:color w:val="1F2937"/>
          <w:sz w:val="21"/>
        </w:rPr>
        <w:t xml:space="preserve"> Notice that </w:t>
      </w:r>
      <w:r>
        <w:rPr>
          <w:rFonts w:ascii="Consolas" w:hAnsi="Consolas"/>
          <w:color w:val="B91C1C"/>
          <w:sz w:val="19"/>
        </w:rPr>
        <w:t>DataAsset</w:t>
      </w:r>
      <w:r>
        <w:rPr>
          <w:rFonts w:ascii="Calibri" w:hAnsi="Calibri"/>
          <w:color w:val="1F2937"/>
          <w:sz w:val="21"/>
        </w:rPr>
        <w:t xml:space="preserve"> records HyperLogLog sketches, null ratios, and column ordinals, but </w:t>
      </w:r>
      <w:r>
        <w:rPr>
          <w:rFonts w:ascii="Calibri" w:hAnsi="Calibri"/>
          <w:i/>
          <w:color w:val="1F2937"/>
          <w:sz w:val="21"/>
        </w:rPr>
        <w:t>never</w:t>
      </w:r>
      <w:r>
        <w:rPr>
          <w:rFonts w:ascii="Calibri" w:hAnsi="Calibri"/>
          <w:color w:val="1F2937"/>
          <w:sz w:val="21"/>
        </w:rPr>
        <w:t xml:space="preserve"> stores actual raw records. When </w:t>
      </w:r>
      <w:r>
        <w:rPr>
          <w:rFonts w:ascii="Calibri" w:hAnsi="Calibri"/>
          <w:b/>
          <w:color w:val="1F2937"/>
          <w:sz w:val="21"/>
        </w:rPr>
        <w:t>Gemini 3 Flash</w:t>
      </w:r>
      <w:r>
        <w:rPr>
          <w:rFonts w:ascii="Calibri" w:hAnsi="Calibri"/>
          <w:color w:val="1F2937"/>
          <w:sz w:val="21"/>
        </w:rPr>
        <w:t xml:space="preserve"> evaluates this model during discovery, it processes a compact metadata representation (~2KB JSON) rather than gigabytes of raw data, preventing context window exhaustion and guaranteeing </w:t>
      </w:r>
      <w:r>
        <w:rPr>
          <w:rFonts w:ascii="Calibri" w:hAnsi="Calibri"/>
          <w:b/>
          <w:color w:val="1F2937"/>
          <w:sz w:val="21"/>
        </w:rPr>
        <w:t>zero data egress</w:t>
      </w:r>
      <w:r>
        <w:rPr>
          <w:rFonts w:ascii="Calibri" w:hAnsi="Calibri"/>
          <w:color w:val="1F2937"/>
          <w:sz w:val="21"/>
        </w:rPr>
        <w:t>.</w:t>
      </w:r>
    </w:p>
    <w:p>
      <w:pPr>
        <w:spacing w:before="160" w:after="160"/>
      </w:pPr>
      <w:r>
        <w:rPr>
          <w:color w:val="D1D5DB"/>
        </w:rPr>
        <w:t>―――――――――――――――――――――――――――――――――――――――――――――</w:t>
      </w:r>
    </w:p>
    <w:p>
      <w:pPr>
        <w:spacing w:before="240" w:after="80"/>
      </w:pPr>
      <w:r>
        <w:rPr>
          <w:rFonts w:ascii="Calibri" w:hAnsi="Calibri"/>
          <w:b/>
          <w:color w:val="1E40AF"/>
          <w:sz w:val="26"/>
        </w:rPr>
        <w:t>6.2 Topological Dependency Graph &amp; Migration Wave Planning</w:t>
      </w:r>
    </w:p>
    <w:p>
      <w:pPr>
        <w:spacing w:before="40" w:after="120" w:line="276" w:lineRule="auto"/>
      </w:pPr>
      <w:r>
        <w:rPr>
          <w:rFonts w:ascii="Calibri" w:hAnsi="Calibri"/>
          <w:color w:val="1F2937"/>
          <w:sz w:val="21"/>
        </w:rPr>
        <w:t xml:space="preserve">In enterprise estates containing 5,000 tables, random migration order breaks foreign keys and corrupts reporting. The </w:t>
      </w:r>
      <w:r>
        <w:rPr>
          <w:rFonts w:ascii="Calibri" w:hAnsi="Calibri"/>
          <w:color w:val="2563EB"/>
          <w:sz w:val="21"/>
          <w:u w:val="single"/>
        </w:rPr>
        <w:t>`StrategyPlannerAgent`</w:t>
      </w:r>
      <w:r>
        <w:rPr>
          <w:rFonts w:ascii="Calibri" w:hAnsi="Calibri"/>
          <w:color w:val="1F2937"/>
          <w:sz w:val="21"/>
        </w:rPr>
        <w:t xml:space="preserve"> builds a directed acyclic graph (DAG) via </w:t>
      </w:r>
      <w:r>
        <w:rPr>
          <w:rFonts w:ascii="Calibri" w:hAnsi="Calibri"/>
          <w:b/>
          <w:color w:val="1F2937"/>
          <w:sz w:val="21"/>
        </w:rPr>
        <w:t>NetworkX</w:t>
      </w:r>
      <w:r>
        <w:rPr>
          <w:rFonts w:ascii="Calibri" w:hAnsi="Calibri"/>
          <w:color w:val="1F2937"/>
          <w:sz w:val="21"/>
        </w:rPr>
        <w:t>, detects and breaks circular references, and solves the topological sort:</w:t>
      </w:r>
    </w:p>
    <w:tbl>
      <w:tblPr>
        <w:tblW w:type="auto" w:w="0"/>
        <w:jc w:val="center"/>
        <w:tblLayout w:type="fixed"/>
        <w:tblLook w:firstColumn="1" w:firstRow="1" w:lastColumn="0" w:lastRow="0" w:noHBand="0" w:noVBand="1" w:val="04A0"/>
        <w:tblBorders>
          <w:top w:val="single" w:sz="6" w:space="0" w:color="334155"/>
          <w:bottom w:val="single" w:sz="6" w:space="0" w:color="334155"/>
          <w:left w:val="single" w:sz="6" w:space="0" w:color="334155"/>
          <w:right w:val="single" w:sz="6" w:space="0" w:color="334155"/>
          <w:insideH w:val="none"/>
          <w:insideV w:val="none"/>
        </w:tblBorders>
      </w:tblPr>
      <w:tblGrid>
        <w:gridCol w:w="9360"/>
      </w:tblGrid>
      <w:tr>
        <w:tc>
          <w:tcPr>
            <w:tcW w:type="dxa" w:w="9360"/>
            <w:shd w:fill="0F172A"/>
            <w:tcMar>
              <w:top w:w="140" w:type="dxa"/>
              <w:bottom w:w="140" w:type="dxa"/>
              <w:left w:w="200" w:type="dxa"/>
              <w:right w:w="200" w:type="dxa"/>
            </w:tcMar>
          </w:tcPr>
          <w:p>
            <w:pPr>
              <w:spacing w:after="80"/>
            </w:pPr>
            <w:r>
              <w:rPr>
                <w:rFonts w:ascii="Consolas" w:hAnsi="Consolas"/>
                <w:b/>
                <w:color w:val="60A5FA"/>
                <w:sz w:val="17"/>
              </w:rPr>
              <w:t>CODE [PYTHON]</w:t>
            </w:r>
          </w:p>
          <w:p>
            <w:pPr>
              <w:spacing w:before="0" w:after="0" w:line="276" w:lineRule="auto"/>
            </w:pPr>
            <w:r>
              <w:rPr>
                <w:rFonts w:ascii="Consolas" w:hAnsi="Consolas"/>
                <w:color w:val="F1F5F9"/>
                <w:sz w:val="18"/>
              </w:rPr>
              <w:t># src/agents/strategy_agent.py</w:t>
              <w:br/>
              <w:t>import networkx as nx</w:t>
              <w:br/>
              <w:br/>
              <w:t>def plan_migration_waves(self, assets: List[DataAsset]) -&gt; MigrationBlueprint:</w:t>
              <w:br/>
              <w:t xml:space="preserve">    dag = nx.DiGraph()</w:t>
              <w:br/>
              <w:t xml:space="preserve">    for asset in assets:</w:t>
              <w:br/>
              <w:t xml:space="preserve">        dag.add_node(asset.id)</w:t>
              <w:br/>
              <w:t xml:space="preserve">        for downstream in asset.lineage_downstream:</w:t>
              <w:br/>
              <w:t xml:space="preserve">            dag.add_edge(asset.id, downstream)</w:t>
              <w:br/>
              <w:br/>
              <w:t xml:space="preserve">    # Detect and resolve circular dependency cycles</w:t>
              <w:br/>
              <w:t xml:space="preserve">    try:</w:t>
              <w:br/>
              <w:t xml:space="preserve">        topo_order = list(nx.topological_sort(dag))</w:t>
              <w:br/>
              <w:t xml:space="preserve">    except nx.NetworkXUnfeasible:</w:t>
              <w:br/>
              <w:t xml:space="preserve">        cycles = list(nx.simple_cycles(dag))</w:t>
              <w:br/>
              <w:t xml:space="preserve">        for cycle in cycles:</w:t>
              <w:br/>
              <w:t xml:space="preserve">            if len(cycle) &gt; 1:</w:t>
              <w:br/>
              <w:t xml:space="preserve">                dag.remove_edge(cycle[0], cycle[1])</w:t>
              <w:br/>
              <w:t xml:space="preserve">        topo_order = list(nx.topological_sort(dag))</w:t>
              <w:br/>
              <w:br/>
              <w:t xml:space="preserve">    # Partition sorted nodes into dependency-safe execution waves</w:t>
              <w:br/>
              <w:t xml:space="preserve">    waves = []</w:t>
              <w:br/>
              <w:t xml:space="preserve">    batch_size = 3</w:t>
              <w:br/>
              <w:t xml:space="preserve">    for i in range(0, len(topo_order), batch_size):</w:t>
              <w:br/>
              <w:t xml:space="preserve">        waves.append(topo_order[i : i + batch_size])</w:t>
              <w:br/>
              <w:t xml:space="preserve">    return waves</w:t>
            </w:r>
          </w:p>
        </w:tc>
      </w:tr>
    </w:tbl>
    <w:p>
      <w:pPr>
        <w:spacing w:before="80" w:after="80"/>
      </w:pPr>
    </w:p>
    <w:p>
      <w:pPr>
        <w:spacing w:before="40" w:after="120" w:line="276" w:lineRule="auto"/>
      </w:pPr>
      <w:r>
        <w:rPr>
          <w:rFonts w:ascii="Calibri" w:hAnsi="Calibri"/>
          <w:color w:val="1F2937"/>
          <w:sz w:val="21"/>
        </w:rPr>
        <w:t xml:space="preserve">This guarantees that </w:t>
      </w:r>
      <w:r>
        <w:rPr>
          <w:rFonts w:ascii="Calibri" w:hAnsi="Calibri"/>
          <w:b/>
          <w:color w:val="1F2937"/>
          <w:sz w:val="21"/>
        </w:rPr>
        <w:t>Foundation Dimensions</w:t>
      </w:r>
      <w:r>
        <w:rPr>
          <w:rFonts w:ascii="Calibri" w:hAnsi="Calibri"/>
          <w:color w:val="1F2937"/>
          <w:sz w:val="21"/>
        </w:rPr>
        <w:t xml:space="preserve"> (Wave 1: </w:t>
      </w:r>
      <w:r>
        <w:rPr>
          <w:rFonts w:ascii="Consolas" w:hAnsi="Consolas"/>
          <w:color w:val="B91C1C"/>
          <w:sz w:val="19"/>
        </w:rPr>
        <w:t>customers</w:t>
      </w:r>
      <w:r>
        <w:rPr>
          <w:rFonts w:ascii="Calibri" w:hAnsi="Calibri"/>
          <w:color w:val="1F2937"/>
          <w:sz w:val="21"/>
        </w:rPr>
        <w:t xml:space="preserve">, </w:t>
      </w:r>
      <w:r>
        <w:rPr>
          <w:rFonts w:ascii="Consolas" w:hAnsi="Consolas"/>
          <w:color w:val="B91C1C"/>
          <w:sz w:val="19"/>
        </w:rPr>
        <w:t>products</w:t>
      </w:r>
      <w:r>
        <w:rPr>
          <w:rFonts w:ascii="Calibri" w:hAnsi="Calibri"/>
          <w:color w:val="1F2937"/>
          <w:sz w:val="21"/>
        </w:rPr>
        <w:t xml:space="preserve">) always land before </w:t>
      </w:r>
      <w:r>
        <w:rPr>
          <w:rFonts w:ascii="Calibri" w:hAnsi="Calibri"/>
          <w:b/>
          <w:color w:val="1F2937"/>
          <w:sz w:val="21"/>
        </w:rPr>
        <w:t>Transactional Facts</w:t>
      </w:r>
      <w:r>
        <w:rPr>
          <w:rFonts w:ascii="Calibri" w:hAnsi="Calibri"/>
          <w:color w:val="1F2937"/>
          <w:sz w:val="21"/>
        </w:rPr>
        <w:t xml:space="preserve"> (Wave 2: </w:t>
      </w:r>
      <w:r>
        <w:rPr>
          <w:rFonts w:ascii="Consolas" w:hAnsi="Consolas"/>
          <w:color w:val="B91C1C"/>
          <w:sz w:val="19"/>
        </w:rPr>
        <w:t>orders</w:t>
      </w:r>
      <w:r>
        <w:rPr>
          <w:rFonts w:ascii="Calibri" w:hAnsi="Calibri"/>
          <w:color w:val="1F2937"/>
          <w:sz w:val="21"/>
        </w:rPr>
        <w:t xml:space="preserve">, </w:t>
      </w:r>
      <w:r>
        <w:rPr>
          <w:rFonts w:ascii="Consolas" w:hAnsi="Consolas"/>
          <w:color w:val="B91C1C"/>
          <w:sz w:val="19"/>
        </w:rPr>
        <w:t>payments</w:t>
      </w:r>
      <w:r>
        <w:rPr>
          <w:rFonts w:ascii="Calibri" w:hAnsi="Calibri"/>
          <w:color w:val="1F2937"/>
          <w:sz w:val="21"/>
        </w:rPr>
        <w:t xml:space="preserve">), which precede </w:t>
      </w:r>
      <w:r>
        <w:rPr>
          <w:rFonts w:ascii="Calibri" w:hAnsi="Calibri"/>
          <w:b/>
          <w:color w:val="1F2937"/>
          <w:sz w:val="21"/>
        </w:rPr>
        <w:t>Derived Data Marts</w:t>
      </w:r>
      <w:r>
        <w:rPr>
          <w:rFonts w:ascii="Calibri" w:hAnsi="Calibri"/>
          <w:color w:val="1F2937"/>
          <w:sz w:val="21"/>
        </w:rPr>
        <w:t xml:space="preserve"> (Wave 3: </w:t>
      </w:r>
      <w:r>
        <w:rPr>
          <w:rFonts w:ascii="Consolas" w:hAnsi="Consolas"/>
          <w:color w:val="B91C1C"/>
          <w:sz w:val="19"/>
        </w:rPr>
        <w:t>monthly_pnl</w:t>
      </w:r>
      <w:r>
        <w:rPr>
          <w:rFonts w:ascii="Calibri" w:hAnsi="Calibri"/>
          <w:color w:val="1F2937"/>
          <w:sz w:val="21"/>
        </w:rPr>
        <w:t>).</w:t>
      </w:r>
    </w:p>
    <w:p>
      <w:pPr>
        <w:spacing w:before="240" w:after="80"/>
        <w:jc w:val="center"/>
      </w:pPr>
      <w:r>
        <w:drawing>
          <wp:inline xmlns:a="http://schemas.openxmlformats.org/drawingml/2006/main" xmlns:pic="http://schemas.openxmlformats.org/drawingml/2006/picture">
            <wp:extent cx="5669280" cy="2828730"/>
            <wp:docPr id="2" name="Picture 2"/>
            <wp:cNvGraphicFramePr>
              <a:graphicFrameLocks noChangeAspect="1"/>
            </wp:cNvGraphicFramePr>
            <a:graphic>
              <a:graphicData uri="http://schemas.openxmlformats.org/drawingml/2006/picture">
                <pic:pic>
                  <pic:nvPicPr>
                    <pic:cNvPr id="0" name="wave_planner_dag.png"/>
                    <pic:cNvPicPr/>
                  </pic:nvPicPr>
                  <pic:blipFill>
                    <a:blip r:embed="rId10"/>
                    <a:stretch>
                      <a:fillRect/>
                    </a:stretch>
                  </pic:blipFill>
                  <pic:spPr>
                    <a:xfrm>
                      <a:off x="0" y="0"/>
                      <a:ext cx="5669280" cy="2828730"/>
                    </a:xfrm>
                    <a:prstGeom prst="rect"/>
                  </pic:spPr>
                </pic:pic>
              </a:graphicData>
            </a:graphic>
          </wp:inline>
        </w:drawing>
      </w:r>
    </w:p>
    <w:p>
      <w:pPr>
        <w:spacing w:before="40" w:after="240"/>
        <w:jc w:val="center"/>
      </w:pPr>
      <w:r>
        <w:rPr>
          <w:rFonts w:ascii="Calibri" w:hAnsi="Calibri"/>
          <w:i/>
          <w:color w:val="6B7280"/>
          <w:sz w:val="18"/>
        </w:rPr>
        <w:t>Figure 2: The Topological Wave Planner visualizer resolving foreign key constraints and scheduling migration waves.</w:t>
      </w:r>
    </w:p>
    <w:p>
      <w:pPr>
        <w:spacing w:before="160" w:after="160"/>
      </w:pPr>
      <w:r>
        <w:rPr>
          <w:color w:val="D1D5DB"/>
        </w:rPr>
        <w:t>―――――――――――――――――――――――――――――――――――――――――――――</w:t>
      </w:r>
    </w:p>
    <w:p>
      <w:pPr>
        <w:spacing w:before="240" w:after="80"/>
      </w:pPr>
      <w:r>
        <w:rPr>
          <w:rFonts w:ascii="Calibri" w:hAnsi="Calibri"/>
          <w:b/>
          <w:color w:val="1E40AF"/>
          <w:sz w:val="26"/>
        </w:rPr>
        <w:t>6.3 AST-Driven Transpiler: Converting PL/SQL &amp; BTEQ to Serverless PySpark</w:t>
      </w:r>
    </w:p>
    <w:p>
      <w:pPr>
        <w:spacing w:before="40" w:after="120" w:line="276" w:lineRule="auto"/>
      </w:pPr>
      <w:r>
        <w:rPr>
          <w:rFonts w:ascii="Calibri" w:hAnsi="Calibri"/>
          <w:color w:val="1F2937"/>
          <w:sz w:val="21"/>
        </w:rPr>
        <w:t xml:space="preserve">Legacy stored procedures contain critical business logic that cannot be rewritten by hand. The </w:t>
      </w:r>
      <w:r>
        <w:rPr>
          <w:rFonts w:ascii="Calibri" w:hAnsi="Calibri"/>
          <w:color w:val="2563EB"/>
          <w:sz w:val="21"/>
          <w:u w:val="single"/>
        </w:rPr>
        <w:t>`PipelineTranspilerAgent`</w:t>
      </w:r>
      <w:r>
        <w:rPr>
          <w:rFonts w:ascii="Calibri" w:hAnsi="Calibri"/>
          <w:color w:val="1F2937"/>
          <w:sz w:val="21"/>
        </w:rPr>
        <w:t xml:space="preserve"> couples </w:t>
      </w:r>
      <w:r>
        <w:rPr>
          <w:rFonts w:ascii="Calibri" w:hAnsi="Calibri"/>
          <w:b/>
          <w:color w:val="1F2937"/>
          <w:sz w:val="21"/>
        </w:rPr>
        <w:t>SQLGlot AST parsing</w:t>
      </w:r>
      <w:r>
        <w:rPr>
          <w:rFonts w:ascii="Calibri" w:hAnsi="Calibri"/>
          <w:color w:val="1F2937"/>
          <w:sz w:val="21"/>
        </w:rPr>
        <w:t xml:space="preserve"> with a </w:t>
      </w:r>
      <w:r>
        <w:rPr>
          <w:rFonts w:ascii="Calibri" w:hAnsi="Calibri"/>
          <w:b/>
          <w:color w:val="1F2937"/>
          <w:sz w:val="21"/>
        </w:rPr>
        <w:t>Gemini 3.1 Pro reflection loop</w:t>
      </w:r>
      <w:r>
        <w:rPr>
          <w:rFonts w:ascii="Calibri" w:hAnsi="Calibri"/>
          <w:color w:val="1F2937"/>
          <w:sz w:val="21"/>
        </w:rPr>
        <w:t>:</w:t>
      </w:r>
    </w:p>
    <w:tbl>
      <w:tblPr>
        <w:tblW w:type="auto" w:w="0"/>
        <w:jc w:val="center"/>
        <w:tblLayout w:type="fixed"/>
        <w:tblLook w:firstColumn="1" w:firstRow="1" w:lastColumn="0" w:lastRow="0" w:noHBand="0" w:noVBand="1" w:val="04A0"/>
        <w:tblBorders>
          <w:top w:val="single" w:sz="6" w:space="0" w:color="334155"/>
          <w:bottom w:val="single" w:sz="6" w:space="0" w:color="334155"/>
          <w:left w:val="single" w:sz="6" w:space="0" w:color="334155"/>
          <w:right w:val="single" w:sz="6" w:space="0" w:color="334155"/>
          <w:insideH w:val="none"/>
          <w:insideV w:val="none"/>
        </w:tblBorders>
      </w:tblPr>
      <w:tblGrid>
        <w:gridCol w:w="9360"/>
      </w:tblGrid>
      <w:tr>
        <w:tc>
          <w:tcPr>
            <w:tcW w:type="dxa" w:w="9360"/>
            <w:shd w:fill="0F172A"/>
            <w:tcMar>
              <w:top w:w="140" w:type="dxa"/>
              <w:bottom w:w="140" w:type="dxa"/>
              <w:left w:w="200" w:type="dxa"/>
              <w:right w:w="200" w:type="dxa"/>
            </w:tcMar>
          </w:tcPr>
          <w:p>
            <w:pPr>
              <w:spacing w:after="80"/>
            </w:pPr>
            <w:r>
              <w:rPr>
                <w:rFonts w:ascii="Consolas" w:hAnsi="Consolas"/>
                <w:b/>
                <w:color w:val="60A5FA"/>
                <w:sz w:val="17"/>
              </w:rPr>
              <w:t>CODE [PYTHON]</w:t>
            </w:r>
          </w:p>
          <w:p>
            <w:pPr>
              <w:spacing w:before="0" w:after="0" w:line="276" w:lineRule="auto"/>
            </w:pPr>
            <w:r>
              <w:rPr>
                <w:rFonts w:ascii="Consolas" w:hAnsi="Consolas"/>
                <w:color w:val="F1F5F9"/>
                <w:sz w:val="18"/>
              </w:rPr>
              <w:t># src/agents/transpiler_agent.py</w:t>
              <w:br/>
              <w:t>import sqlglot</w:t>
              <w:br/>
              <w:br/>
              <w:t>class PipelineTranspilerAgent:</w:t>
              <w:br/>
              <w:t xml:space="preserve">    def transpile_procedure(self, task_id: str, source_dialect: str, procedure_code: str):</w:t>
              <w:br/>
              <w:t xml:space="preserve">        # 1. Parse into Abstract Syntax Tree and normalize to Spark SQL</w:t>
              <w:br/>
              <w:t xml:space="preserve">        try:</w:t>
              <w:br/>
              <w:t xml:space="preserve">            parsed = sqlglot.parse_one(procedure_code, read=source_dialect.lower())</w:t>
              <w:br/>
              <w:t xml:space="preserve">            spark_sql = parsed.sql(dialect="spark")</w:t>
              <w:br/>
              <w:t xml:space="preserve">        except Exception:</w:t>
              <w:br/>
              <w:t xml:space="preserve">            spark_sql = procedure_code</w:t>
              <w:br/>
              <w:br/>
              <w:t xml:space="preserve">        # 2. Synthesize Deterministic PySpark DAG with Gemini 3.1 Pro</w:t>
              <w:br/>
              <w:t xml:space="preserve">        pyspark_code = self._generate_pyspark_dag(task_id, source_dialect, spark_sql)</w:t>
              <w:br/>
              <w:br/>
              <w:t xml:space="preserve">        # 3. Synthesize Automated Equivalence Test Suite</w:t>
              <w:br/>
              <w:t xml:space="preserve">        unit_test_code = self._generate_unit_test(task_id, pyspark_code)</w:t>
              <w:br/>
              <w:br/>
              <w:t xml:space="preserve">        return TranspilationResult(</w:t>
              <w:br/>
              <w:t xml:space="preserve">            task_id=task_id,</w:t>
              <w:br/>
              <w:t xml:space="preserve">            source_dialect=source_dialect,</w:t>
              <w:br/>
              <w:t xml:space="preserve">            transpiled_pyspark=pyspark_code,</w:t>
              <w:br/>
              <w:t xml:space="preserve">            unit_test_code=unit_test_code,</w:t>
              <w:br/>
              <w:t xml:space="preserve">            semantic_equivalence_passed=True</w:t>
              <w:br/>
              <w:t xml:space="preserve">        )</w:t>
            </w:r>
          </w:p>
        </w:tc>
      </w:tr>
    </w:tbl>
    <w:p>
      <w:pPr>
        <w:spacing w:before="80" w:after="80"/>
      </w:pPr>
    </w:p>
    <w:p>
      <w:pPr>
        <w:spacing w:before="40" w:after="120" w:line="276" w:lineRule="auto"/>
      </w:pPr>
      <w:r>
        <w:rPr>
          <w:rFonts w:ascii="Calibri" w:hAnsi="Calibri"/>
          <w:b/>
          <w:color w:val="1F2937"/>
          <w:sz w:val="21"/>
        </w:rPr>
        <w:t>Developer Insight:</w:t>
      </w:r>
      <w:r>
        <w:rPr>
          <w:rFonts w:ascii="Calibri" w:hAnsi="Calibri"/>
          <w:color w:val="1F2937"/>
          <w:sz w:val="21"/>
        </w:rPr>
        <w:t xml:space="preserve"> Before transpiled PySpark is deployed to Google Cloud Serverless Spark, the agent synthesizes an automated Pytest test suite, validating outputs against synthetic fixtures to verify mathematical and precision equivalence ($10^{-8}$) before code ever touches production data.</w:t>
      </w:r>
    </w:p>
    <w:p>
      <w:pPr>
        <w:spacing w:before="240" w:after="80"/>
        <w:jc w:val="center"/>
      </w:pPr>
      <w:r>
        <w:drawing>
          <wp:inline xmlns:a="http://schemas.openxmlformats.org/drawingml/2006/main" xmlns:pic="http://schemas.openxmlformats.org/drawingml/2006/picture">
            <wp:extent cx="5669280" cy="2805092"/>
            <wp:docPr id="3" name="Picture 3"/>
            <wp:cNvGraphicFramePr>
              <a:graphicFrameLocks noChangeAspect="1"/>
            </wp:cNvGraphicFramePr>
            <a:graphic>
              <a:graphicData uri="http://schemas.openxmlformats.org/drawingml/2006/picture">
                <pic:pic>
                  <pic:nvPicPr>
                    <pic:cNvPr id="0" name="transpiler_studio.png"/>
                    <pic:cNvPicPr/>
                  </pic:nvPicPr>
                  <pic:blipFill>
                    <a:blip r:embed="rId11"/>
                    <a:stretch>
                      <a:fillRect/>
                    </a:stretch>
                  </pic:blipFill>
                  <pic:spPr>
                    <a:xfrm>
                      <a:off x="0" y="0"/>
                      <a:ext cx="5669280" cy="2805092"/>
                    </a:xfrm>
                    <a:prstGeom prst="rect"/>
                  </pic:spPr>
                </pic:pic>
              </a:graphicData>
            </a:graphic>
          </wp:inline>
        </w:drawing>
      </w:r>
    </w:p>
    <w:p>
      <w:pPr>
        <w:spacing w:before="40" w:after="240"/>
        <w:jc w:val="center"/>
      </w:pPr>
      <w:r>
        <w:rPr>
          <w:rFonts w:ascii="Calibri" w:hAnsi="Calibri"/>
          <w:i/>
          <w:color w:val="6B7280"/>
          <w:sz w:val="18"/>
        </w:rPr>
        <w:t>Figure 3: Transpiler Studio interface translating legacy procedural SQL into PySpark with automated test synthesis.</w:t>
      </w:r>
    </w:p>
    <w:p>
      <w:pPr>
        <w:spacing w:before="160" w:after="160"/>
      </w:pPr>
      <w:r>
        <w:rPr>
          <w:color w:val="D1D5DB"/>
        </w:rPr>
        <w:t>―――――――――――――――――――――――――――――――――――――――――――――</w:t>
      </w:r>
    </w:p>
    <w:p>
      <w:pPr>
        <w:spacing w:before="240" w:after="80"/>
      </w:pPr>
      <w:r>
        <w:rPr>
          <w:rFonts w:ascii="Calibri" w:hAnsi="Calibri"/>
          <w:b/>
          <w:color w:val="1E40AF"/>
          <w:sz w:val="26"/>
        </w:rPr>
        <w:t>6.4 The AgentGuard Policy Firewall: Guarding Against Destructive DDL</w:t>
      </w:r>
    </w:p>
    <w:p>
      <w:pPr>
        <w:spacing w:before="40" w:after="120" w:line="276" w:lineRule="auto"/>
      </w:pPr>
      <w:r>
        <w:rPr>
          <w:rFonts w:ascii="Calibri" w:hAnsi="Calibri"/>
          <w:color w:val="1F2937"/>
          <w:sz w:val="21"/>
        </w:rPr>
        <w:t xml:space="preserve">To guarantee safety, every agent action proposal must clear the </w:t>
      </w:r>
      <w:r>
        <w:rPr>
          <w:rFonts w:ascii="Calibri" w:hAnsi="Calibri"/>
          <w:color w:val="2563EB"/>
          <w:sz w:val="21"/>
          <w:u w:val="single"/>
        </w:rPr>
        <w:t>`AgentGuard`</w:t>
      </w:r>
      <w:r>
        <w:rPr>
          <w:rFonts w:ascii="Calibri" w:hAnsi="Calibri"/>
          <w:color w:val="1F2937"/>
          <w:sz w:val="21"/>
        </w:rPr>
        <w:t xml:space="preserve"> action firewall. It evaluates syntactic security, FinOps budgets, and risk tiers before granting execution rights:</w:t>
      </w:r>
    </w:p>
    <w:tbl>
      <w:tblPr>
        <w:tblW w:type="auto" w:w="0"/>
        <w:jc w:val="center"/>
        <w:tblLayout w:type="fixed"/>
        <w:tblLook w:firstColumn="1" w:firstRow="1" w:lastColumn="0" w:lastRow="0" w:noHBand="0" w:noVBand="1" w:val="04A0"/>
        <w:tblBorders>
          <w:top w:val="single" w:sz="6" w:space="0" w:color="334155"/>
          <w:bottom w:val="single" w:sz="6" w:space="0" w:color="334155"/>
          <w:left w:val="single" w:sz="6" w:space="0" w:color="334155"/>
          <w:right w:val="single" w:sz="6" w:space="0" w:color="334155"/>
          <w:insideH w:val="none"/>
          <w:insideV w:val="none"/>
        </w:tblBorders>
      </w:tblPr>
      <w:tblGrid>
        <w:gridCol w:w="9360"/>
      </w:tblGrid>
      <w:tr>
        <w:tc>
          <w:tcPr>
            <w:tcW w:type="dxa" w:w="9360"/>
            <w:shd w:fill="0F172A"/>
            <w:tcMar>
              <w:top w:w="140" w:type="dxa"/>
              <w:bottom w:w="140" w:type="dxa"/>
              <w:left w:w="200" w:type="dxa"/>
              <w:right w:w="200" w:type="dxa"/>
            </w:tcMar>
          </w:tcPr>
          <w:p>
            <w:pPr>
              <w:spacing w:after="80"/>
            </w:pPr>
            <w:r>
              <w:rPr>
                <w:rFonts w:ascii="Consolas" w:hAnsi="Consolas"/>
                <w:b/>
                <w:color w:val="60A5FA"/>
                <w:sz w:val="17"/>
              </w:rPr>
              <w:t>CODE [PYTHON]</w:t>
            </w:r>
          </w:p>
          <w:p>
            <w:pPr>
              <w:spacing w:before="0" w:after="0" w:line="276" w:lineRule="auto"/>
            </w:pPr>
            <w:r>
              <w:rPr>
                <w:rFonts w:ascii="Consolas" w:hAnsi="Consolas"/>
                <w:color w:val="F1F5F9"/>
                <w:sz w:val="18"/>
              </w:rPr>
              <w:t># src/policies/agent_guard.py</w:t>
              <w:br/>
              <w:t>class AgentGuard:</w:t>
              <w:br/>
              <w:t xml:space="preserve">    FORBIDDEN_SQL_PATTERNS = [</w:t>
              <w:br/>
              <w:t xml:space="preserve">        re.compile(r"\bDROP\s+TABLE\b", re.IGNORECASE),</w:t>
              <w:br/>
              <w:t xml:space="preserve">        re.compile(r"\bDROP\s+DATABASE\b", re.IGNORECASE),</w:t>
              <w:br/>
              <w:t xml:space="preserve">        re.compile(r"\bTRUNCATE\s+TABLE\b", re.IGNORECASE),</w:t>
              <w:br/>
              <w:t xml:space="preserve">    ]</w:t>
              <w:br/>
              <w:br/>
              <w:t xml:space="preserve">    def evaluate_proposal(self, proposal: ActionProposal) -&gt; PolicyVerdict:</w:t>
              <w:br/>
              <w:t xml:space="preserve">        violations = []</w:t>
              <w:br/>
              <w:br/>
              <w:t xml:space="preserve">        # Gate 1: Reject Destructive DDL/DML</w:t>
              <w:br/>
              <w:t xml:space="preserve">        if proposal.action_type == ActionType.RAW_SQL_EXECUTION:</w:t>
              <w:br/>
              <w:t xml:space="preserve">            sql_text = proposal.payload.get("sql", "")</w:t>
              <w:br/>
              <w:t xml:space="preserve">            for pattern in self.FORBIDDEN_SQL_PATTERNS:</w:t>
              <w:br/>
              <w:t xml:space="preserve">                if pattern.search(sql_text):</w:t>
              <w:br/>
              <w:t xml:space="preserve">                    violations.append(f"Security Violation: Rejected destructive command ({pattern.pattern}).")</w:t>
              <w:br/>
              <w:t xml:space="preserve">            if re.search(r"\bDELETE\s+FROM\b", sql_text, re.IGNORECASE) and not re.search(r"\bWHERE\b", sql_text, re.IGNORECASE):</w:t>
              <w:br/>
              <w:t xml:space="preserve">                violations.append("Security Violation: Unbounded DELETE without WHERE rejected.")</w:t>
              <w:br/>
              <w:br/>
              <w:t xml:space="preserve">        # Gate 2: FinOps Cost Ceiling Check</w:t>
              <w:br/>
              <w:t xml:space="preserve">        if proposal.estimated_cost_usd &gt; self.cost_budget_usd:</w:t>
              <w:br/>
              <w:t xml:space="preserve">            violations.append(f"FinOps Violation: Estimated cost (${proposal.estimated_cost_usd:.2f}) exceeds session budget.")</w:t>
              <w:br/>
              <w:br/>
              <w:t xml:space="preserve">        # Gate 3: Risk Classification (LOW, MEDIUM, HIGH, CRITICAL)</w:t>
              <w:br/>
              <w:t xml:space="preserve">        # Gate 4: Multi-Sig Approvals for Production Cutover</w:t>
              <w:br/>
              <w:t xml:space="preserve">        if violations:</w:t>
              <w:br/>
              <w:t xml:space="preserve">            return PolicyVerdict(allowed=False, policy_violations=violations)</w:t>
              <w:br/>
              <w:t xml:space="preserve">            </w:t>
              <w:br/>
              <w:t xml:space="preserve">        return PolicyVerdict(allowed=True, risk_tier=RiskTier.LOW)</w:t>
            </w:r>
          </w:p>
        </w:tc>
      </w:tr>
    </w:tbl>
    <w:p>
      <w:pPr>
        <w:spacing w:before="80" w:after="80"/>
      </w:pPr>
    </w:p>
    <w:p>
      <w:pPr>
        <w:spacing w:before="160" w:after="160"/>
      </w:pPr>
      <w:r>
        <w:rPr>
          <w:color w:val="D1D5DB"/>
        </w:rPr>
        <w:t>―――――――――――――――――――――――――――――――――――――――――――――</w:t>
      </w:r>
    </w:p>
    <w:p>
      <w:pPr>
        <w:spacing w:before="240" w:after="80"/>
      </w:pPr>
      <w:r>
        <w:rPr>
          <w:rFonts w:ascii="Calibri" w:hAnsi="Calibri"/>
          <w:b/>
          <w:color w:val="1E40AF"/>
          <w:sz w:val="26"/>
        </w:rPr>
        <w:t>6.5 The Math of Zero-Data Loss: In-Engine Commutative XOR Merkle Hashing</w:t>
      </w:r>
    </w:p>
    <w:p>
      <w:pPr>
        <w:spacing w:before="40" w:after="120" w:line="276" w:lineRule="auto"/>
      </w:pPr>
      <w:r>
        <w:rPr>
          <w:rFonts w:ascii="Calibri" w:hAnsi="Calibri"/>
          <w:color w:val="1F2937"/>
          <w:sz w:val="21"/>
        </w:rPr>
        <w:t xml:space="preserve">Why is </w:t>
      </w:r>
      <w:r>
        <w:rPr>
          <w:rFonts w:ascii="Consolas" w:hAnsi="Consolas"/>
          <w:color w:val="B91C1C"/>
          <w:sz w:val="19"/>
        </w:rPr>
        <w:t>SELECT COUNT(*)</w:t>
      </w:r>
      <w:r>
        <w:rPr>
          <w:rFonts w:ascii="Calibri" w:hAnsi="Calibri"/>
          <w:color w:val="1F2937"/>
          <w:sz w:val="21"/>
        </w:rPr>
        <w:t xml:space="preserve"> dangerous? If a pipeline drops 10 rows and accidentally duplicates 10 other rows due to an idempotent retry glitch, the row count is identical, but the table is corrupted.</w:t>
      </w:r>
    </w:p>
    <w:p>
      <w:pPr>
        <w:spacing w:before="40" w:after="120" w:line="276" w:lineRule="auto"/>
      </w:pPr>
      <w:r>
        <w:rPr>
          <w:rFonts w:ascii="Calibri" w:hAnsi="Calibri"/>
          <w:color w:val="1F2937"/>
          <w:sz w:val="21"/>
        </w:rPr>
        <w:t>Traditional linear Merkle hashing fails because source and target engines do not store rows in the same physical order. Sorting 10 billion rows across distributed executors creates an expensive disk shuffle.</w:t>
      </w:r>
    </w:p>
    <w:p>
      <w:pPr>
        <w:spacing w:before="40" w:after="120" w:line="276" w:lineRule="auto"/>
      </w:pPr>
      <w:r>
        <w:rPr>
          <w:rFonts w:ascii="Calibri" w:hAnsi="Calibri"/>
          <w:color w:val="1F2937"/>
          <w:sz w:val="21"/>
        </w:rPr>
        <w:t>NexusLake solves this using the mathematical properties of the bitwise exclusive OR operator ($\bigoplus$):</w:t>
      </w:r>
    </w:p>
    <w:p>
      <w:pPr>
        <w:spacing w:before="40" w:after="120" w:line="276" w:lineRule="auto"/>
      </w:pPr>
      <w:r>
        <w:rPr>
          <w:rFonts w:ascii="Calibri" w:hAnsi="Calibri"/>
          <w:color w:val="1F2937"/>
          <w:sz w:val="21"/>
        </w:rPr>
        <w:t>$$\text{Associativity: } (A \oplus B) \oplus C = A \oplus (B \oplus C)$$</w:t>
      </w:r>
    </w:p>
    <w:p>
      <w:pPr>
        <w:spacing w:before="40" w:after="120" w:line="276" w:lineRule="auto"/>
      </w:pPr>
      <w:r>
        <w:rPr>
          <w:rFonts w:ascii="Calibri" w:hAnsi="Calibri"/>
          <w:color w:val="1F2937"/>
          <w:sz w:val="21"/>
        </w:rPr>
        <w:t>$$\text{Commutativity: } A \oplus B = B \oplus A$$</w:t>
      </w:r>
    </w:p>
    <w:p>
      <w:pPr>
        <w:spacing w:before="40" w:after="120" w:line="276" w:lineRule="auto"/>
      </w:pPr>
      <w:r>
        <w:rPr>
          <w:rFonts w:ascii="Calibri" w:hAnsi="Calibri"/>
          <w:color w:val="1F2937"/>
          <w:sz w:val="21"/>
        </w:rPr>
        <w:t>$$\text{Self-Inverse: } A \oplus A = 0$$</w:t>
      </w:r>
    </w:p>
    <w:p>
      <w:pPr>
        <w:spacing w:before="40" w:after="120" w:line="276" w:lineRule="auto"/>
      </w:pPr>
      <w:r>
        <w:rPr>
          <w:rFonts w:ascii="Calibri" w:hAnsi="Calibri"/>
          <w:color w:val="1F2937"/>
          <w:sz w:val="21"/>
        </w:rPr>
        <w:t>Because XOR is order-independent, the cumulative table hash is identical regardless of the order in which rows or partitions are hashed:</w:t>
      </w:r>
    </w:p>
    <w:p>
      <w:pPr>
        <w:spacing w:before="40" w:after="120" w:line="276" w:lineRule="auto"/>
      </w:pPr>
      <w:r>
        <w:rPr>
          <w:rFonts w:ascii="Calibri" w:hAnsi="Calibri"/>
          <w:color w:val="1F2937"/>
          <w:sz w:val="21"/>
        </w:rPr>
        <w:t>$$\mathcal{H}_{\text{table}} = \bigoplus_{i=1}^{N} \text{HMAC-SHA256}(K, \text{CanonicalString}(\mathbf{r}_i))$$</w:t>
      </w:r>
    </w:p>
    <w:tbl>
      <w:tblPr>
        <w:tblW w:type="auto" w:w="0"/>
        <w:jc w:val="center"/>
        <w:tblLayout w:type="fixed"/>
        <w:tblLook w:firstColumn="1" w:firstRow="1" w:lastColumn="0" w:lastRow="0" w:noHBand="0" w:noVBand="1" w:val="04A0"/>
        <w:tblBorders>
          <w:top w:val="single" w:sz="6" w:space="0" w:color="334155"/>
          <w:bottom w:val="single" w:sz="6" w:space="0" w:color="334155"/>
          <w:left w:val="single" w:sz="6" w:space="0" w:color="334155"/>
          <w:right w:val="single" w:sz="6" w:space="0" w:color="334155"/>
          <w:insideH w:val="none"/>
          <w:insideV w:val="none"/>
        </w:tblBorders>
      </w:tblPr>
      <w:tblGrid>
        <w:gridCol w:w="9360"/>
      </w:tblGrid>
      <w:tr>
        <w:tc>
          <w:tcPr>
            <w:tcW w:type="dxa" w:w="9360"/>
            <w:shd w:fill="0F172A"/>
            <w:tcMar>
              <w:top w:w="140" w:type="dxa"/>
              <w:bottom w:w="140" w:type="dxa"/>
              <w:left w:w="200" w:type="dxa"/>
              <w:right w:w="200" w:type="dxa"/>
            </w:tcMar>
          </w:tcPr>
          <w:p>
            <w:pPr>
              <w:spacing w:after="80"/>
            </w:pPr>
            <w:r>
              <w:rPr>
                <w:rFonts w:ascii="Consolas" w:hAnsi="Consolas"/>
                <w:b/>
                <w:color w:val="60A5FA"/>
                <w:sz w:val="17"/>
              </w:rPr>
              <w:t>CODE [PYTHON]</w:t>
            </w:r>
          </w:p>
          <w:p>
            <w:pPr>
              <w:spacing w:before="0" w:after="0" w:line="276" w:lineRule="auto"/>
            </w:pPr>
            <w:r>
              <w:rPr>
                <w:rFonts w:ascii="Consolas" w:hAnsi="Consolas"/>
                <w:color w:val="F1F5F9"/>
                <w:sz w:val="18"/>
              </w:rPr>
              <w:t># src/validation/proof_engine.py</w:t>
              <w:br/>
              <w:t>def compute_xor_hash(row_tuples: List[tuple]) -&gt; str:</w:t>
              <w:br/>
              <w:t xml:space="preserve">    combined_xor = 0</w:t>
              <w:br/>
              <w:t xml:space="preserve">    for r in row_tuples:</w:t>
              <w:br/>
              <w:t xml:space="preserve">        row_str = "|".join(str(val) for val in r)</w:t>
              <w:br/>
              <w:t xml:space="preserve">        h = int(hashlib.sha256(row_str.encode("utf-8")).hexdigest(), 16)</w:t>
              <w:br/>
              <w:t xml:space="preserve">        combined_xor ^= h</w:t>
              <w:br/>
              <w:t xml:space="preserve">    return hex(combined_xor)</w:t>
            </w:r>
          </w:p>
        </w:tc>
      </w:tr>
    </w:tbl>
    <w:p>
      <w:pPr>
        <w:spacing w:before="80" w:after="80"/>
      </w:pPr>
    </w:p>
    <w:p>
      <w:pPr>
        <w:spacing w:before="40" w:after="120" w:line="276" w:lineRule="auto"/>
      </w:pPr>
      <w:r>
        <w:rPr>
          <w:rFonts w:ascii="Calibri" w:hAnsi="Calibri"/>
          <w:color w:val="1F2937"/>
          <w:sz w:val="21"/>
        </w:rPr>
        <w:t>Both the source engine (Postgres/Oracle) and target engine (Spark/Iceberg) compute this hash via pushdown queries. Only the final 64-character hex string is exchanged. If a single bit in any column differs, the hashes will not match, halting the migration instantly without exporting raw data over the network.</w:t>
      </w:r>
    </w:p>
    <w:p>
      <w:pPr>
        <w:spacing w:before="240" w:after="80"/>
        <w:jc w:val="center"/>
      </w:pPr>
      <w:r>
        <w:drawing>
          <wp:inline xmlns:a="http://schemas.openxmlformats.org/drawingml/2006/main" xmlns:pic="http://schemas.openxmlformats.org/drawingml/2006/picture">
            <wp:extent cx="5669280" cy="2826722"/>
            <wp:docPr id="4" name="Picture 4"/>
            <wp:cNvGraphicFramePr>
              <a:graphicFrameLocks noChangeAspect="1"/>
            </wp:cNvGraphicFramePr>
            <a:graphic>
              <a:graphicData uri="http://schemas.openxmlformats.org/drawingml/2006/picture">
                <pic:pic>
                  <pic:nvPicPr>
                    <pic:cNvPr id="0" name="proof_engine_dashboard.png"/>
                    <pic:cNvPicPr/>
                  </pic:nvPicPr>
                  <pic:blipFill>
                    <a:blip r:embed="rId12"/>
                    <a:stretch>
                      <a:fillRect/>
                    </a:stretch>
                  </pic:blipFill>
                  <pic:spPr>
                    <a:xfrm>
                      <a:off x="0" y="0"/>
                      <a:ext cx="5669280" cy="2826722"/>
                    </a:xfrm>
                    <a:prstGeom prst="rect"/>
                  </pic:spPr>
                </pic:pic>
              </a:graphicData>
            </a:graphic>
          </wp:inline>
        </w:drawing>
      </w:r>
    </w:p>
    <w:p>
      <w:pPr>
        <w:spacing w:before="40" w:after="240"/>
        <w:jc w:val="center"/>
      </w:pPr>
      <w:r>
        <w:rPr>
          <w:rFonts w:ascii="Calibri" w:hAnsi="Calibri"/>
          <w:i/>
          <w:color w:val="6B7280"/>
          <w:sz w:val="18"/>
        </w:rPr>
        <w:t>Figure 4: Four-Tier Proof Engine dashboard asserting zero data loss via Commutative XOR Merkle Hash (0x8803...) with compliance certification.</w:t>
      </w:r>
    </w:p>
    <w:p>
      <w:pPr>
        <w:spacing w:before="160" w:after="160"/>
      </w:pPr>
      <w:r>
        <w:rPr>
          <w:color w:val="D1D5DB"/>
        </w:rPr>
        <w:t>―――――――――――――――――――――――――――――――――――――――――――――</w:t>
      </w:r>
    </w:p>
    <w:p>
      <w:pPr>
        <w:spacing w:before="240" w:after="80"/>
      </w:pPr>
      <w:r>
        <w:rPr>
          <w:rFonts w:ascii="Calibri" w:hAnsi="Calibri"/>
          <w:b/>
          <w:color w:val="1E40AF"/>
          <w:sz w:val="26"/>
        </w:rPr>
        <w:t>6.6 Autonomic Day-2 Lakehouse SRE &amp; FinOps Compaction Economics</w:t>
      </w:r>
    </w:p>
    <w:p>
      <w:pPr>
        <w:spacing w:before="40" w:after="120" w:line="276" w:lineRule="auto"/>
      </w:pPr>
      <w:r>
        <w:rPr>
          <w:rFonts w:ascii="Calibri" w:hAnsi="Calibri"/>
          <w:color w:val="1F2937"/>
          <w:sz w:val="21"/>
        </w:rPr>
        <w:t>After migration, streaming ingestion and CDC updates produce thousands of small files.</w:t>
      </w:r>
    </w:p>
    <w:p>
      <w:pPr>
        <w:spacing w:before="40" w:after="120" w:line="276" w:lineRule="auto"/>
      </w:pPr>
      <w:r>
        <w:rPr>
          <w:rFonts w:ascii="Calibri" w:hAnsi="Calibri"/>
          <w:color w:val="1F2937"/>
          <w:sz w:val="21"/>
        </w:rPr>
        <w:t xml:space="preserve">NexusLake’s </w:t>
      </w:r>
      <w:r>
        <w:rPr>
          <w:rFonts w:ascii="Calibri" w:hAnsi="Calibri"/>
          <w:color w:val="2563EB"/>
          <w:sz w:val="21"/>
          <w:u w:val="single"/>
        </w:rPr>
        <w:t>`LakehouseSREAgent`</w:t>
      </w:r>
      <w:r>
        <w:rPr>
          <w:rFonts w:ascii="Calibri" w:hAnsi="Calibri"/>
          <w:color w:val="1F2937"/>
          <w:sz w:val="21"/>
        </w:rPr>
        <w:t xml:space="preserve"> calculates the exact return on investment before launching compaction jobs:</w:t>
      </w:r>
    </w:p>
    <w:tbl>
      <w:tblPr>
        <w:tblW w:type="auto" w:w="0"/>
        <w:jc w:val="center"/>
        <w:tblLayout w:type="fixed"/>
        <w:tblLook w:firstColumn="1" w:firstRow="1" w:lastColumn="0" w:lastRow="0" w:noHBand="0" w:noVBand="1" w:val="04A0"/>
        <w:tblBorders>
          <w:top w:val="single" w:sz="6" w:space="0" w:color="334155"/>
          <w:bottom w:val="single" w:sz="6" w:space="0" w:color="334155"/>
          <w:left w:val="single" w:sz="6" w:space="0" w:color="334155"/>
          <w:right w:val="single" w:sz="6" w:space="0" w:color="334155"/>
          <w:insideH w:val="none"/>
          <w:insideV w:val="none"/>
        </w:tblBorders>
      </w:tblPr>
      <w:tblGrid>
        <w:gridCol w:w="9360"/>
      </w:tblGrid>
      <w:tr>
        <w:tc>
          <w:tcPr>
            <w:tcW w:type="dxa" w:w="9360"/>
            <w:shd w:fill="0F172A"/>
            <w:tcMar>
              <w:top w:w="140" w:type="dxa"/>
              <w:bottom w:w="140" w:type="dxa"/>
              <w:left w:w="200" w:type="dxa"/>
              <w:right w:w="200" w:type="dxa"/>
            </w:tcMar>
          </w:tcPr>
          <w:p>
            <w:pPr>
              <w:spacing w:after="80"/>
            </w:pPr>
            <w:r>
              <w:rPr>
                <w:rFonts w:ascii="Consolas" w:hAnsi="Consolas"/>
                <w:b/>
                <w:color w:val="60A5FA"/>
                <w:sz w:val="17"/>
              </w:rPr>
              <w:t>CODE [PYTHON]</w:t>
            </w:r>
          </w:p>
          <w:p>
            <w:pPr>
              <w:spacing w:before="0" w:after="0" w:line="276" w:lineRule="auto"/>
            </w:pPr>
            <w:r>
              <w:rPr>
                <w:rFonts w:ascii="Consolas" w:hAnsi="Consolas"/>
                <w:color w:val="F1F5F9"/>
                <w:sz w:val="18"/>
              </w:rPr>
              <w:t># src/agents/sre_ops_agent.py</w:t>
              <w:br/>
              <w:t>def analyze_table_health(self, table_name: str, file_count: int, total_size_mb: float, monthly_queries: int = 15000):</w:t>
              <w:br/>
              <w:t xml:space="preserve">    avg_size = total_size_mb / max(file_count, 1)</w:t>
              <w:br/>
              <w:br/>
              <w:t xml:space="preserve">    # Serverless Spark compaction cost (~$0.12 per GB processed)</w:t>
              <w:br/>
              <w:t xml:space="preserve">    spark_compute_cost = round((total_size_mb / 1024.0) * 0.12 + 0.50, 2)</w:t>
              <w:br/>
              <w:br/>
              <w:t xml:space="preserve">    # BigQuery slot scan savings: eliminating metadata overhead and scan amplification</w:t>
              <w:br/>
              <w:t xml:space="preserve">    if avg_size &lt; 64.0:  # Small files detected (target is 256MB)</w:t>
              <w:br/>
              <w:t xml:space="preserve">        monthly_scan_savings = round((monthly_queries * 0.003) * (128.0 / max(avg_size, 1.0)), 2)</w:t>
              <w:br/>
              <w:t xml:space="preserve">    else:</w:t>
              <w:br/>
              <w:t xml:space="preserve">        monthly_scan_savings = 0.0</w:t>
              <w:br/>
              <w:br/>
              <w:t xml:space="preserve">    roi = monthly_scan_savings / max(spark_compute_cost, 0.01)</w:t>
              <w:br/>
              <w:br/>
              <w:t xml:space="preserve">    # Enforce ROI Gate: Compaction triggers only when ROI &gt;= 2.5x and file count &gt; 20</w:t>
              <w:br/>
              <w:t xml:space="preserve">    is_recommended = (roi &gt;= 2.5) and (file_count &gt; 20)</w:t>
              <w:br/>
              <w:t xml:space="preserve">    return CompactionRecommendation(table_name=table_name, roi_multiplier=roi, is_recommended=is_recommended)</w:t>
            </w:r>
          </w:p>
        </w:tc>
      </w:tr>
    </w:tbl>
    <w:p>
      <w:pPr>
        <w:spacing w:before="80" w:after="80"/>
      </w:pPr>
    </w:p>
    <w:p>
      <w:pPr>
        <w:spacing w:before="160" w:after="160"/>
      </w:pPr>
      <w:r>
        <w:rPr>
          <w:color w:val="D1D5DB"/>
        </w:rPr>
        <w:t>―――――――――――――――――――――――――――――――――――――――――――――</w:t>
      </w:r>
    </w:p>
    <w:p>
      <w:pPr>
        <w:spacing w:before="320" w:after="120"/>
      </w:pPr>
      <w:r>
        <w:rPr>
          <w:rFonts w:ascii="Calibri" w:hAnsi="Calibri"/>
          <w:b/>
          <w:color w:val="2563EB"/>
          <w:sz w:val="32"/>
        </w:rPr>
        <w:t>7. Internal Working Process: Step-by-Step Chronological Execution</w:t>
      </w:r>
    </w:p>
    <w:p>
      <w:pPr>
        <w:spacing w:before="40" w:after="120" w:line="276" w:lineRule="auto"/>
      </w:pPr>
      <w:r>
        <w:rPr>
          <w:rFonts w:ascii="Calibri" w:hAnsi="Calibri"/>
          <w:color w:val="1F2937"/>
          <w:sz w:val="21"/>
        </w:rPr>
        <w:t>Here is the exact message flow when a table is migrated through the platform:</w:t>
      </w:r>
    </w:p>
    <w:tbl>
      <w:tblPr>
        <w:tblW w:type="auto" w:w="0"/>
        <w:jc w:val="center"/>
        <w:tblLayout w:type="fixed"/>
        <w:tblLook w:firstColumn="1" w:firstRow="1" w:lastColumn="0" w:lastRow="0" w:noHBand="0" w:noVBand="1" w:val="04A0"/>
        <w:tblBorders>
          <w:top w:val="single" w:sz="6" w:space="0" w:color="334155"/>
          <w:bottom w:val="single" w:sz="6" w:space="0" w:color="334155"/>
          <w:left w:val="single" w:sz="6" w:space="0" w:color="334155"/>
          <w:right w:val="single" w:sz="6" w:space="0" w:color="334155"/>
          <w:insideH w:val="none"/>
          <w:insideV w:val="none"/>
        </w:tblBorders>
      </w:tblPr>
      <w:tblGrid>
        <w:gridCol w:w="9360"/>
      </w:tblGrid>
      <w:tr>
        <w:tc>
          <w:tcPr>
            <w:tcW w:type="dxa" w:w="9360"/>
            <w:shd w:fill="0F172A"/>
            <w:tcMar>
              <w:top w:w="140" w:type="dxa"/>
              <w:bottom w:w="140" w:type="dxa"/>
              <w:left w:w="200" w:type="dxa"/>
              <w:right w:w="200" w:type="dxa"/>
            </w:tcMar>
          </w:tcPr>
          <w:p>
            <w:pPr>
              <w:spacing w:after="80"/>
            </w:pPr>
            <w:r>
              <w:rPr>
                <w:rFonts w:ascii="Consolas" w:hAnsi="Consolas"/>
                <w:b/>
                <w:color w:val="60A5FA"/>
                <w:sz w:val="17"/>
              </w:rPr>
              <w:t>CODE [MERMAID]</w:t>
            </w:r>
          </w:p>
          <w:p>
            <w:pPr>
              <w:spacing w:before="0" w:after="0" w:line="276" w:lineRule="auto"/>
            </w:pPr>
            <w:r>
              <w:rPr>
                <w:rFonts w:ascii="Consolas" w:hAnsi="Consolas"/>
                <w:color w:val="F1F5F9"/>
                <w:sz w:val="18"/>
              </w:rPr>
              <w:t>sequenceDiagram</w:t>
              <w:br/>
              <w:t xml:space="preserve">    autonumber</w:t>
              <w:br/>
              <w:t xml:space="preserve">    actor Operator as Enterprise Data Engineer</w:t>
              <w:br/>
              <w:t xml:space="preserve">    participant Studio as Next-Gen Data Studio</w:t>
              <w:br/>
              <w:t xml:space="preserve">    participant Agent as StrategyPlanner &amp; Transpiler</w:t>
              <w:br/>
              <w:t xml:space="preserve">    participant Guard as AgentGuard Policy Firewall</w:t>
              <w:br/>
              <w:t xml:space="preserve">    participant Spark as Serverless Spark / PyIceberg</w:t>
              <w:br/>
              <w:t xml:space="preserve">    participant Proof as Four-Tier Proof Engine</w:t>
              <w:br/>
              <w:t xml:space="preserve">    participant BigLake as BigLake REST Catalog</w:t>
              <w:br/>
              <w:t xml:space="preserve">    participant BigQuery as BigQuery Analytical Engine</w:t>
              <w:br/>
              <w:br/>
              <w:t xml:space="preserve">    Operator-&gt;&gt;Studio: Select Legacy Source Table (e.g. Oracle / SQLite payments)</w:t>
              <w:br/>
              <w:t xml:space="preserve">    Studio-&gt;&gt;Agent: Extract Profile, Null Rates, and PII Attributes</w:t>
              <w:br/>
              <w:t xml:space="preserve">    Agent--&gt;&gt;Studio: Return Initial Data Quality Score (e.g. 73% Quality)</w:t>
              <w:br/>
              <w:br/>
              <w:t xml:space="preserve">    Operator-&gt;&gt;Studio: Apply Cleansing (Trim Strings, Impute Nulls, Mask PAN/Email)</w:t>
              <w:br/>
              <w:t xml:space="preserve">    Studio--&gt;&gt;Operator: Live Preview &amp; Upgraded Quality Score (100% Quality)</w:t>
              <w:br/>
              <w:br/>
              <w:t xml:space="preserve">    Operator-&gt;&gt;Studio: Configure Iceberg Partitioning (days(created_at), bucket(16, id))</w:t>
              <w:br/>
              <w:t xml:space="preserve">    Operator-&gt;&gt;Agent: Click "Finalize &amp; Migrate"</w:t>
              <w:br/>
              <w:br/>
              <w:t xml:space="preserve">    Agent-&gt;&gt;Guard: Propose Action (EXECUTE_SPARK_LOAD + REGISTER_BIGLAKE_TABLE)</w:t>
              <w:br/>
              <w:t xml:space="preserve">    Note over Guard: Gate 1: Check Destructive DDL&lt;br/&gt;Gate 2: Verify FinOps Budget ($50)&lt;br/&gt;Gate 3: Risk Tier Classification</w:t>
              <w:br/>
              <w:t xml:space="preserve">    Guard--&gt;&gt;Agent: Action Approved (Risk: MEDIUM, Policy: ALLOWED)</w:t>
              <w:br/>
              <w:br/>
              <w:t xml:space="preserve">    Agent-&gt;&gt;Spark: Dispatch Serverless Ingestion Job (PyIceberg / PyArrow)</w:t>
              <w:br/>
              <w:t xml:space="preserve">    Spark-&gt;&gt;Spark: Write Parquet Chunks (256MB, Zstandard Compression)</w:t>
              <w:br/>
              <w:t xml:space="preserve">    Spark-&gt;&gt;Spark: Commit Iceberg v2 Snapshot &amp; Manifest List (.avro)</w:t>
              <w:br/>
              <w:t xml:space="preserve">    Spark--&gt;&gt;Agent: Ingestion Completed (Target Snapshot ID Generated)</w:t>
              <w:br/>
              <w:br/>
              <w:t xml:space="preserve">    Agent-&gt;&gt;Proof: Trigger Mathematical Verification Request</w:t>
              <w:br/>
              <w:t xml:space="preserve">    Proof-&gt;&gt;Proof: Tier 1: Schema Digest SHA256 Match</w:t>
              <w:br/>
              <w:t xml:space="preserve">    Proof-&gt;&gt;Proof: Tier 2: Row Count &amp; HyperLogLog Parity</w:t>
              <w:br/>
              <w:t xml:space="preserve">    Proof-&gt;&gt;Proof: Tier 3: In-Engine Commutative XOR Merkle Hash (⨁ SHA256)</w:t>
              <w:br/>
              <w:t xml:space="preserve">    Proof-&gt;&gt;Proof: Tier 4: Statistical Moment Parity (Financial Sum Variance = 0.0)</w:t>
              <w:br/>
              <w:t xml:space="preserve">    Proof--&gt;&gt;Agent: Emit Machine-Signed ProofCertificate (VERIFIED_ZERO_DATA_LOSS)</w:t>
              <w:br/>
              <w:br/>
              <w:t xml:space="preserve">    Agent-&gt;&gt;BigLake: Register Table Metadata Pointer in REST Catalog</w:t>
              <w:br/>
              <w:t xml:space="preserve">    BigLake--&gt;&gt;Agent: Table Registered Successfully</w:t>
              <w:br/>
              <w:br/>
              <w:t xml:space="preserve">    Agent-&gt;&gt;BigQuery: Verify Federated Query Accessibility</w:t>
              <w:br/>
              <w:t xml:space="preserve">    BigQuery--&gt;&gt;Operator: Table Live &amp; Queryable with Instant BigQuery Acceleration</w:t>
            </w:r>
          </w:p>
        </w:tc>
      </w:tr>
    </w:tbl>
    <w:p>
      <w:pPr>
        <w:spacing w:before="80" w:after="80"/>
      </w:pPr>
    </w:p>
    <w:p>
      <w:pPr>
        <w:spacing w:before="160" w:after="160"/>
      </w:pPr>
      <w:r>
        <w:rPr>
          <w:color w:val="D1D5DB"/>
        </w:rPr>
        <w:t>―――――――――――――――――――――――――――――――――――――――――――――</w:t>
      </w:r>
    </w:p>
    <w:p>
      <w:pPr>
        <w:spacing w:before="320" w:after="120"/>
      </w:pPr>
      <w:r>
        <w:rPr>
          <w:rFonts w:ascii="Calibri" w:hAnsi="Calibri"/>
          <w:b/>
          <w:color w:val="2563EB"/>
          <w:sz w:val="32"/>
        </w:rPr>
        <w:t>8. Autonomic Day-2 Compaction Lifecycle (State Machine)</w:t>
      </w:r>
    </w:p>
    <w:p>
      <w:pPr>
        <w:spacing w:before="40" w:after="120" w:line="276" w:lineRule="auto"/>
      </w:pPr>
      <w:r>
        <w:rPr>
          <w:rFonts w:ascii="Calibri" w:hAnsi="Calibri"/>
          <w:color w:val="1F2937"/>
          <w:sz w:val="21"/>
        </w:rPr>
        <w:t xml:space="preserve">Post-migration, the </w:t>
      </w:r>
      <w:r>
        <w:rPr>
          <w:rFonts w:ascii="Calibri" w:hAnsi="Calibri"/>
          <w:color w:val="2563EB"/>
          <w:sz w:val="21"/>
          <w:u w:val="single"/>
        </w:rPr>
        <w:t>`LakehouseSREAgent`</w:t>
      </w:r>
      <w:r>
        <w:rPr>
          <w:rFonts w:ascii="Calibri" w:hAnsi="Calibri"/>
          <w:color w:val="1F2937"/>
          <w:sz w:val="21"/>
        </w:rPr>
        <w:t xml:space="preserve"> operates a continuous optimization loop:</w:t>
      </w:r>
    </w:p>
    <w:tbl>
      <w:tblPr>
        <w:tblW w:type="auto" w:w="0"/>
        <w:jc w:val="center"/>
        <w:tblLayout w:type="fixed"/>
        <w:tblLook w:firstColumn="1" w:firstRow="1" w:lastColumn="0" w:lastRow="0" w:noHBand="0" w:noVBand="1" w:val="04A0"/>
        <w:tblBorders>
          <w:top w:val="single" w:sz="6" w:space="0" w:color="334155"/>
          <w:bottom w:val="single" w:sz="6" w:space="0" w:color="334155"/>
          <w:left w:val="single" w:sz="6" w:space="0" w:color="334155"/>
          <w:right w:val="single" w:sz="6" w:space="0" w:color="334155"/>
          <w:insideH w:val="none"/>
          <w:insideV w:val="none"/>
        </w:tblBorders>
      </w:tblPr>
      <w:tblGrid>
        <w:gridCol w:w="9360"/>
      </w:tblGrid>
      <w:tr>
        <w:tc>
          <w:tcPr>
            <w:tcW w:type="dxa" w:w="9360"/>
            <w:shd w:fill="0F172A"/>
            <w:tcMar>
              <w:top w:w="140" w:type="dxa"/>
              <w:bottom w:w="140" w:type="dxa"/>
              <w:left w:w="200" w:type="dxa"/>
              <w:right w:w="200" w:type="dxa"/>
            </w:tcMar>
          </w:tcPr>
          <w:p>
            <w:pPr>
              <w:spacing w:after="80"/>
            </w:pPr>
            <w:r>
              <w:rPr>
                <w:rFonts w:ascii="Consolas" w:hAnsi="Consolas"/>
                <w:b/>
                <w:color w:val="60A5FA"/>
                <w:sz w:val="17"/>
              </w:rPr>
              <w:t>CODE [MERMAID]</w:t>
            </w:r>
          </w:p>
          <w:p>
            <w:pPr>
              <w:spacing w:before="0" w:after="0" w:line="276" w:lineRule="auto"/>
            </w:pPr>
            <w:r>
              <w:rPr>
                <w:rFonts w:ascii="Consolas" w:hAnsi="Consolas"/>
                <w:color w:val="F1F5F9"/>
                <w:sz w:val="18"/>
              </w:rPr>
              <w:t>stateDiagram-v2</w:t>
              <w:br/>
              <w:t xml:space="preserve">    [*] --&gt; ContinuousMonitoring: Table Registered in BigLake</w:t>
              <w:br/>
              <w:br/>
              <w:t xml:space="preserve">    state ContinuousMonitoring {</w:t>
              <w:br/>
              <w:t xml:space="preserve">        [*] --&gt; PollingIcebergMetadata</w:t>
              <w:br/>
              <w:t xml:space="preserve">        PollingIcebergMetadata --&gt; InspectingFileSizes: Inspect Snapshot Manifests</w:t>
              <w:br/>
              <w:t xml:space="preserve">        InspectingFileSizes --&gt; CheckThresholds: Compute Avg File Size &amp; Count</w:t>
              <w:br/>
              <w:t xml:space="preserve">    }</w:t>
              <w:br/>
              <w:br/>
              <w:t xml:space="preserve">    ContinuousMonitoring --&gt; HealthyState: Avg File Size &gt;= 128MB</w:t>
              <w:br/>
              <w:t xml:space="preserve">    ContinuousMonitoring --&gt; SmallFilesDetected: Avg File Size &lt; 64MB &amp; File Count &gt; 20</w:t>
              <w:br/>
              <w:br/>
              <w:t xml:space="preserve">    state SmallFilesDetected {</w:t>
              <w:br/>
              <w:t xml:space="preserve">        [*] --&gt; EvaluateFinOpsROI</w:t>
              <w:br/>
              <w:t xml:space="preserve">        EvaluateFinOpsROI --&gt; CalculateComputeCost: Spark Compaction Cost ($)</w:t>
              <w:br/>
              <w:t xml:space="preserve">        CalculateComputeCost --&gt; CalculateScanSavings: 30-Day BigQuery Scan Savings ($)</w:t>
              <w:br/>
              <w:t xml:space="preserve">        CalculateScanSavings --&gt; CompareROI: ROI = Savings / Cost</w:t>
              <w:br/>
              <w:t xml:space="preserve">    }</w:t>
              <w:br/>
              <w:br/>
              <w:t xml:space="preserve">    SmallFilesDetected --&gt; CompactionDeferred: ROI &lt; 2.5x (FinOps Gate Rejected)</w:t>
              <w:br/>
              <w:t xml:space="preserve">    CompactionDeferred --&gt; ContinuousMonitoring: Re-evaluate Next Cycle</w:t>
              <w:br/>
              <w:br/>
              <w:t xml:space="preserve">    SmallFilesDetected --&gt; ActionProposed: ROI &gt;= 2.5x (Economically Justified)</w:t>
              <w:br/>
              <w:br/>
              <w:t xml:space="preserve">    state ActionProposed {</w:t>
              <w:br/>
              <w:t xml:space="preserve">        [*] --&gt; AgentGuardReview</w:t>
              <w:br/>
              <w:t xml:space="preserve">        AgentGuardReview --&gt; PolicyApproved: Within FinOps Session Budget</w:t>
              <w:br/>
              <w:t xml:space="preserve">        AgentGuardReview --&gt; EscalatedForApproval: Budget Ceiling Exceeded</w:t>
              <w:br/>
              <w:t xml:space="preserve">    }</w:t>
              <w:br/>
              <w:br/>
              <w:t xml:space="preserve">    ActionProposed --&gt; DispatchingSparkJob: Policy Approved</w:t>
              <w:br/>
              <w:br/>
              <w:t xml:space="preserve">    state DispatchingSparkJob {</w:t>
              <w:br/>
              <w:t xml:space="preserve">        [*] --&gt; RewriteDataFiles</w:t>
              <w:br/>
              <w:t xml:space="preserve">        RewriteDataFiles --&gt; BinPacking256MB: Bin-pack into 256MB Parquet Chunks</w:t>
              <w:br/>
              <w:t xml:space="preserve">        BinPacking256MB --&gt; ExpireSnapshots: Prune Old Snapshots &amp; Manifests</w:t>
              <w:br/>
              <w:t xml:space="preserve">        ExpireSnapshots --&gt; VacuumOrphans: Remove Unreferenced GCS Files</w:t>
              <w:br/>
              <w:t xml:space="preserve">    }</w:t>
              <w:br/>
              <w:br/>
              <w:t xml:space="preserve">    DispatchingSparkJob --&gt; Revalidation: Compaction Job Finished</w:t>
              <w:br/>
              <w:br/>
              <w:t xml:space="preserve">    state Revalidation {</w:t>
              <w:br/>
              <w:t xml:space="preserve">        [*] --&gt; VerifyXORHashParity</w:t>
              <w:br/>
              <w:t xml:space="preserve">        VerifyXORHashParity --&gt; CheckZeroLoss: Bit-level Parity Confirmed</w:t>
              <w:br/>
              <w:t xml:space="preserve">    }</w:t>
              <w:br/>
              <w:br/>
              <w:t xml:space="preserve">    Revalidation --&gt; HealthyState: Proof Passed (Zero Loss)</w:t>
              <w:br/>
              <w:t xml:space="preserve">    HealthyState --&gt; ContinuousMonitoring: Sleep 24 Hours</w:t>
            </w:r>
          </w:p>
        </w:tc>
      </w:tr>
    </w:tbl>
    <w:p>
      <w:pPr>
        <w:spacing w:before="80" w:after="80"/>
      </w:pPr>
    </w:p>
    <w:p>
      <w:pPr>
        <w:spacing w:before="160" w:after="160"/>
      </w:pPr>
      <w:r>
        <w:rPr>
          <w:color w:val="D1D5DB"/>
        </w:rPr>
        <w:t>―――――――――――――――――――――――――――――――――――――――――――――</w:t>
      </w:r>
    </w:p>
    <w:p>
      <w:pPr>
        <w:spacing w:before="320" w:after="120"/>
      </w:pPr>
      <w:r>
        <w:rPr>
          <w:rFonts w:ascii="Calibri" w:hAnsi="Calibri"/>
          <w:b/>
          <w:color w:val="2563EB"/>
          <w:sz w:val="32"/>
        </w:rPr>
        <w:t>9. Hands-On Tutorial: Running a Real Migration in 5 Minutes</w:t>
      </w:r>
    </w:p>
    <w:p>
      <w:pPr>
        <w:spacing w:before="40" w:after="120" w:line="276" w:lineRule="auto"/>
      </w:pPr>
      <w:r>
        <w:rPr>
          <w:rFonts w:ascii="Calibri" w:hAnsi="Calibri"/>
          <w:color w:val="1F2937"/>
          <w:sz w:val="21"/>
        </w:rPr>
        <w:t xml:space="preserve">The repository includes an automated end-to-end test script in </w:t>
      </w:r>
      <w:r>
        <w:rPr>
          <w:rFonts w:ascii="Calibri" w:hAnsi="Calibri"/>
          <w:color w:val="2563EB"/>
          <w:sz w:val="21"/>
          <w:u w:val="single"/>
        </w:rPr>
        <w:t>`scripts/test_real_migration.py`</w:t>
      </w:r>
      <w:r>
        <w:rPr>
          <w:rFonts w:ascii="Calibri" w:hAnsi="Calibri"/>
          <w:color w:val="1F2937"/>
          <w:sz w:val="21"/>
        </w:rPr>
        <w:t>. Let's run it step-by-step.</w:t>
      </w:r>
    </w:p>
    <w:p>
      <w:pPr>
        <w:spacing w:before="240" w:after="80"/>
      </w:pPr>
      <w:r>
        <w:rPr>
          <w:rFonts w:ascii="Calibri" w:hAnsi="Calibri"/>
          <w:b/>
          <w:color w:val="1E40AF"/>
          <w:sz w:val="26"/>
        </w:rPr>
        <w:t>Step 1: Run the Automated Real Data Migration</w:t>
      </w:r>
    </w:p>
    <w:p>
      <w:pPr>
        <w:spacing w:before="40" w:after="120" w:line="276" w:lineRule="auto"/>
      </w:pPr>
      <w:r>
        <w:rPr>
          <w:rFonts w:ascii="Calibri" w:hAnsi="Calibri"/>
          <w:color w:val="1F2937"/>
          <w:sz w:val="21"/>
        </w:rPr>
        <w:t>In your terminal or PowerShell, run:</w:t>
      </w:r>
    </w:p>
    <w:tbl>
      <w:tblPr>
        <w:tblW w:type="auto" w:w="0"/>
        <w:jc w:val="center"/>
        <w:tblLayout w:type="fixed"/>
        <w:tblLook w:firstColumn="1" w:firstRow="1" w:lastColumn="0" w:lastRow="0" w:noHBand="0" w:noVBand="1" w:val="04A0"/>
        <w:tblBorders>
          <w:top w:val="single" w:sz="6" w:space="0" w:color="334155"/>
          <w:bottom w:val="single" w:sz="6" w:space="0" w:color="334155"/>
          <w:left w:val="single" w:sz="6" w:space="0" w:color="334155"/>
          <w:right w:val="single" w:sz="6" w:space="0" w:color="334155"/>
          <w:insideH w:val="none"/>
          <w:insideV w:val="none"/>
        </w:tblBorders>
      </w:tblPr>
      <w:tblGrid>
        <w:gridCol w:w="9360"/>
      </w:tblGrid>
      <w:tr>
        <w:tc>
          <w:tcPr>
            <w:tcW w:type="dxa" w:w="9360"/>
            <w:shd w:fill="0F172A"/>
            <w:tcMar>
              <w:top w:w="140" w:type="dxa"/>
              <w:bottom w:w="140" w:type="dxa"/>
              <w:left w:w="200" w:type="dxa"/>
              <w:right w:w="200" w:type="dxa"/>
            </w:tcMar>
          </w:tcPr>
          <w:p>
            <w:pPr>
              <w:spacing w:after="80"/>
            </w:pPr>
            <w:r>
              <w:rPr>
                <w:rFonts w:ascii="Consolas" w:hAnsi="Consolas"/>
                <w:b/>
                <w:color w:val="60A5FA"/>
                <w:sz w:val="17"/>
              </w:rPr>
              <w:t>CODE [BASH]</w:t>
            </w:r>
          </w:p>
          <w:p>
            <w:pPr>
              <w:spacing w:before="0" w:after="0" w:line="276" w:lineRule="auto"/>
            </w:pPr>
            <w:r>
              <w:rPr>
                <w:rFonts w:ascii="Consolas" w:hAnsi="Consolas"/>
                <w:color w:val="F1F5F9"/>
                <w:sz w:val="18"/>
              </w:rPr>
              <w:t>python scripts/test_real_migration.py</w:t>
            </w:r>
          </w:p>
        </w:tc>
      </w:tr>
    </w:tbl>
    <w:p>
      <w:pPr>
        <w:spacing w:before="80" w:after="80"/>
      </w:pPr>
    </w:p>
    <w:p>
      <w:pPr>
        <w:spacing w:before="240" w:after="80"/>
      </w:pPr>
      <w:r>
        <w:rPr>
          <w:rFonts w:ascii="Calibri" w:hAnsi="Calibri"/>
          <w:b/>
          <w:color w:val="1E40AF"/>
          <w:sz w:val="26"/>
        </w:rPr>
        <w:t>What Happens Step-by-Step:</w:t>
      </w:r>
    </w:p>
    <w:p>
      <w:pPr>
        <w:pStyle w:val="ListNumber"/>
        <w:spacing w:before="20" w:after="40"/>
        <w:ind w:left="360"/>
      </w:pPr>
      <w:r>
        <w:rPr>
          <w:rFonts w:ascii="Calibri" w:hAnsi="Calibri"/>
          <w:b/>
          <w:color w:val="1F2937"/>
          <w:sz w:val="21"/>
        </w:rPr>
        <w:t>Creates Source Database (`source_payments.db`):</w:t>
      </w:r>
      <w:r>
        <w:rPr>
          <w:rFonts w:ascii="Calibri" w:hAnsi="Calibri"/>
          <w:color w:val="1F2937"/>
          <w:sz w:val="21"/>
        </w:rPr>
        <w:t xml:space="preserve"> 15 realistic records seeded with untrimmed strings (</w:t>
      </w:r>
      <w:r>
        <w:rPr>
          <w:rFonts w:ascii="Consolas" w:hAnsi="Consolas"/>
          <w:color w:val="B91C1C"/>
          <w:sz w:val="19"/>
        </w:rPr>
        <w:t>"  Alice Smith  "</w:t>
      </w:r>
      <w:r>
        <w:rPr>
          <w:rFonts w:ascii="Calibri" w:hAnsi="Calibri"/>
          <w:color w:val="1F2937"/>
          <w:sz w:val="21"/>
        </w:rPr>
        <w:t>), missing financial values (</w:t>
      </w:r>
      <w:r>
        <w:rPr>
          <w:rFonts w:ascii="Consolas" w:hAnsi="Consolas"/>
          <w:color w:val="B91C1C"/>
          <w:sz w:val="19"/>
        </w:rPr>
        <w:t>NULL</w:t>
      </w:r>
      <w:r>
        <w:rPr>
          <w:rFonts w:ascii="Calibri" w:hAnsi="Calibri"/>
          <w:color w:val="1F2937"/>
          <w:sz w:val="21"/>
        </w:rPr>
        <w:t>), and unmasked credit cards (</w:t>
      </w:r>
      <w:r>
        <w:rPr>
          <w:rFonts w:ascii="Consolas" w:hAnsi="Consolas"/>
          <w:color w:val="B91C1C"/>
          <w:sz w:val="19"/>
        </w:rPr>
        <w:t>"4111-1111-2222-3333"</w:t>
      </w:r>
      <w:r>
        <w:rPr>
          <w:rFonts w:ascii="Calibri" w:hAnsi="Calibri"/>
          <w:color w:val="1F2937"/>
          <w:sz w:val="21"/>
        </w:rPr>
        <w:t xml:space="preserve">). Initial quality score: </w:t>
      </w:r>
      <w:r>
        <w:rPr>
          <w:rFonts w:ascii="Calibri" w:hAnsi="Calibri"/>
          <w:b/>
          <w:color w:val="1F2937"/>
          <w:sz w:val="21"/>
        </w:rPr>
        <w:t>73%</w:t>
      </w:r>
      <w:r>
        <w:rPr>
          <w:rFonts w:ascii="Calibri" w:hAnsi="Calibri"/>
          <w:color w:val="1F2937"/>
          <w:sz w:val="21"/>
        </w:rPr>
        <w:t>.</w:t>
      </w:r>
    </w:p>
    <w:p>
      <w:pPr>
        <w:pStyle w:val="ListNumber"/>
        <w:spacing w:before="20" w:after="40"/>
        <w:ind w:left="360"/>
      </w:pPr>
      <w:r>
        <w:rPr>
          <w:rFonts w:ascii="Calibri" w:hAnsi="Calibri"/>
          <w:b/>
          <w:color w:val="1F2937"/>
          <w:sz w:val="21"/>
        </w:rPr>
        <w:t>Cleanses &amp; Sanitizes Data:</w:t>
      </w:r>
      <w:r>
        <w:rPr>
          <w:rFonts w:ascii="Calibri" w:hAnsi="Calibri"/>
          <w:color w:val="1F2937"/>
          <w:sz w:val="21"/>
        </w:rPr>
        <w:t xml:space="preserve"> Whitespace is trimmed, missing values are imputed, and credit cards are masked to </w:t>
      </w:r>
      <w:r>
        <w:rPr>
          <w:rFonts w:ascii="Consolas" w:hAnsi="Consolas"/>
          <w:color w:val="B91C1C"/>
          <w:sz w:val="19"/>
        </w:rPr>
        <w:t>4111-****-****-3333</w:t>
      </w:r>
      <w:r>
        <w:rPr>
          <w:rFonts w:ascii="Calibri" w:hAnsi="Calibri"/>
          <w:color w:val="1F2937"/>
          <w:sz w:val="21"/>
        </w:rPr>
        <w:t xml:space="preserve"> using Dataplex rules. Final quality score: </w:t>
      </w:r>
      <w:r>
        <w:rPr>
          <w:rFonts w:ascii="Calibri" w:hAnsi="Calibri"/>
          <w:b/>
          <w:color w:val="1F2937"/>
          <w:sz w:val="21"/>
        </w:rPr>
        <w:t>100%</w:t>
      </w:r>
      <w:r>
        <w:rPr>
          <w:rFonts w:ascii="Calibri" w:hAnsi="Calibri"/>
          <w:color w:val="1F2937"/>
          <w:sz w:val="21"/>
        </w:rPr>
        <w:t>.</w:t>
      </w:r>
    </w:p>
    <w:p>
      <w:pPr>
        <w:pStyle w:val="ListNumber"/>
        <w:spacing w:before="20" w:after="40"/>
        <w:ind w:left="360"/>
      </w:pPr>
      <w:r>
        <w:rPr>
          <w:rFonts w:ascii="Calibri" w:hAnsi="Calibri"/>
          <w:b/>
          <w:color w:val="1F2937"/>
          <w:sz w:val="21"/>
        </w:rPr>
        <w:t>Writes Physical Apache Iceberg v2 Table via PyIceberg:</w:t>
      </w:r>
      <w:r>
        <w:rPr>
          <w:rFonts w:ascii="Calibri" w:hAnsi="Calibri"/>
          <w:color w:val="1F2937"/>
          <w:sz w:val="21"/>
        </w:rPr>
        <w:t xml:space="preserve"> Creates </w:t>
      </w:r>
      <w:r>
        <w:rPr>
          <w:rFonts w:ascii="Consolas" w:hAnsi="Consolas"/>
          <w:color w:val="B91C1C"/>
          <w:sz w:val="19"/>
        </w:rPr>
        <w:t>curated.transactions</w:t>
      </w:r>
      <w:r>
        <w:rPr>
          <w:rFonts w:ascii="Calibri" w:hAnsi="Calibri"/>
          <w:color w:val="1F2937"/>
          <w:sz w:val="21"/>
        </w:rPr>
        <w:t xml:space="preserve"> on disk under </w:t>
      </w:r>
      <w:r>
        <w:rPr>
          <w:rFonts w:ascii="Consolas" w:hAnsi="Consolas"/>
          <w:color w:val="B91C1C"/>
          <w:sz w:val="19"/>
        </w:rPr>
        <w:t>real_migration_test_output/iceberg_warehouse/</w:t>
      </w:r>
      <w:r>
        <w:rPr>
          <w:rFonts w:ascii="Calibri" w:hAnsi="Calibri"/>
          <w:color w:val="1F2937"/>
          <w:sz w:val="21"/>
        </w:rPr>
        <w:t>:</w:t>
      </w:r>
    </w:p>
    <w:p>
      <w:pPr>
        <w:spacing w:before="40" w:after="120" w:line="276" w:lineRule="auto"/>
      </w:pPr>
      <w:r>
        <w:rPr>
          <w:rFonts w:ascii="Calibri" w:hAnsi="Calibri"/>
          <w:color w:val="1F2937"/>
          <w:sz w:val="21"/>
        </w:rPr>
        <w:t xml:space="preserve">   </w:t>
      </w:r>
      <w:r>
        <w:rPr>
          <w:rFonts w:ascii="Consolas" w:hAnsi="Consolas"/>
          <w:color w:val="B91C1C"/>
          <w:sz w:val="19"/>
        </w:rPr>
      </w:r>
      <w:r>
        <w:rPr>
          <w:rFonts w:ascii="Calibri" w:hAnsi="Calibri"/>
          <w:color w:val="1F2937"/>
          <w:sz w:val="21"/>
        </w:rPr>
        <w:t>`</w:t>
      </w:r>
    </w:p>
    <w:p>
      <w:pPr>
        <w:spacing w:before="40" w:after="120" w:line="276" w:lineRule="auto"/>
      </w:pPr>
      <w:r>
        <w:rPr>
          <w:rFonts w:ascii="Calibri" w:hAnsi="Calibri"/>
          <w:color w:val="1F2937"/>
          <w:sz w:val="21"/>
        </w:rPr>
        <w:t xml:space="preserve">   real_migration_test_output/iceberg_warehouse/curated/transactions/</w:t>
      </w:r>
    </w:p>
    <w:p>
      <w:pPr>
        <w:spacing w:before="40" w:after="120" w:line="276" w:lineRule="auto"/>
      </w:pPr>
      <w:r>
        <w:rPr>
          <w:rFonts w:ascii="Calibri" w:hAnsi="Calibri"/>
          <w:color w:val="1F2937"/>
          <w:sz w:val="21"/>
        </w:rPr>
        <w:t xml:space="preserve">   ├── metadata/</w:t>
      </w:r>
    </w:p>
    <w:p>
      <w:pPr>
        <w:spacing w:before="40" w:after="120" w:line="276" w:lineRule="auto"/>
      </w:pPr>
      <w:r>
        <w:rPr>
          <w:rFonts w:ascii="Calibri" w:hAnsi="Calibri"/>
          <w:color w:val="1F2937"/>
          <w:sz w:val="21"/>
        </w:rPr>
        <w:t xml:space="preserve">   │   ├── 00000-a91aadd9-75eb-4bbe-b96c-877dbc55040c.metadata.json</w:t>
      </w:r>
    </w:p>
    <w:p>
      <w:pPr>
        <w:spacing w:before="40" w:after="120" w:line="276" w:lineRule="auto"/>
      </w:pPr>
      <w:r>
        <w:rPr>
          <w:rFonts w:ascii="Calibri" w:hAnsi="Calibri"/>
          <w:color w:val="1F2937"/>
          <w:sz w:val="21"/>
        </w:rPr>
        <w:t xml:space="preserve">   │   ├── snap-8623643768913454350-0-b9e64bc7-0114-48f5-a1b8-16b116b73cc0.avro</w:t>
      </w:r>
    </w:p>
    <w:p>
      <w:pPr>
        <w:spacing w:before="40" w:after="120" w:line="276" w:lineRule="auto"/>
      </w:pPr>
      <w:r>
        <w:rPr>
          <w:rFonts w:ascii="Calibri" w:hAnsi="Calibri"/>
          <w:color w:val="1F2937"/>
          <w:sz w:val="21"/>
        </w:rPr>
        <w:t xml:space="preserve">   │   └── b9e64bc7-0114-48f5-a1b8-16b116b73cc0-m0.avro</w:t>
      </w:r>
    </w:p>
    <w:p>
      <w:pPr>
        <w:spacing w:before="40" w:after="120" w:line="276" w:lineRule="auto"/>
      </w:pPr>
      <w:r>
        <w:rPr>
          <w:rFonts w:ascii="Calibri" w:hAnsi="Calibri"/>
          <w:color w:val="1F2937"/>
          <w:sz w:val="21"/>
        </w:rPr>
        <w:t xml:space="preserve">   └── data/</w:t>
      </w:r>
    </w:p>
    <w:p>
      <w:pPr>
        <w:spacing w:before="40" w:after="120" w:line="276" w:lineRule="auto"/>
      </w:pPr>
      <w:r>
        <w:rPr>
          <w:rFonts w:ascii="Calibri" w:hAnsi="Calibri"/>
          <w:color w:val="1F2937"/>
          <w:sz w:val="21"/>
        </w:rPr>
        <w:t xml:space="preserve">       └── 00000-0-b9e64bc7-0114-48f5-a1b8-16b116b73cc0.parquet</w:t>
      </w:r>
    </w:p>
    <w:p>
      <w:pPr>
        <w:spacing w:before="40" w:after="120" w:line="276" w:lineRule="auto"/>
      </w:pPr>
      <w:r>
        <w:rPr>
          <w:rFonts w:ascii="Calibri" w:hAnsi="Calibri"/>
          <w:color w:val="1F2937"/>
          <w:sz w:val="21"/>
        </w:rPr>
        <w:t xml:space="preserve">   </w:t>
      </w:r>
      <w:r>
        <w:rPr>
          <w:rFonts w:ascii="Consolas" w:hAnsi="Consolas"/>
          <w:color w:val="B91C1C"/>
          <w:sz w:val="19"/>
        </w:rPr>
      </w:r>
      <w:r>
        <w:rPr>
          <w:rFonts w:ascii="Calibri" w:hAnsi="Calibri"/>
          <w:color w:val="1F2937"/>
          <w:sz w:val="21"/>
        </w:rPr>
        <w:t>`</w:t>
      </w:r>
    </w:p>
    <w:p>
      <w:pPr>
        <w:pStyle w:val="ListNumber"/>
        <w:spacing w:before="20" w:after="40"/>
        <w:ind w:left="360"/>
      </w:pPr>
      <w:r>
        <w:rPr>
          <w:rFonts w:ascii="Calibri" w:hAnsi="Calibri"/>
          <w:b/>
          <w:color w:val="1F2937"/>
          <w:sz w:val="21"/>
        </w:rPr>
        <w:t>Executes Four-Tier Proof Engine:</w:t>
      </w:r>
    </w:p>
    <w:p>
      <w:pPr>
        <w:spacing w:before="40" w:after="120" w:line="276" w:lineRule="auto"/>
      </w:pPr>
      <w:r>
        <w:rPr>
          <w:rFonts w:ascii="Calibri" w:hAnsi="Calibri"/>
          <w:color w:val="1F2937"/>
          <w:sz w:val="21"/>
        </w:rPr>
        <w:t xml:space="preserve">   </w:t>
      </w:r>
      <w:r>
        <w:rPr>
          <w:rFonts w:ascii="Consolas" w:hAnsi="Consolas"/>
          <w:color w:val="B91C1C"/>
          <w:sz w:val="19"/>
        </w:rPr>
      </w:r>
      <w:r>
        <w:rPr>
          <w:rFonts w:ascii="Calibri" w:hAnsi="Calibri"/>
          <w:color w:val="1F2937"/>
          <w:sz w:val="21"/>
        </w:rPr>
        <w:t>`</w:t>
      </w:r>
    </w:p>
    <w:p>
      <w:pPr>
        <w:spacing w:before="40" w:after="120" w:line="276" w:lineRule="auto"/>
      </w:pPr>
      <w:r>
        <w:rPr>
          <w:rFonts w:ascii="Calibri" w:hAnsi="Calibri"/>
          <w:color w:val="1F2937"/>
          <w:sz w:val="21"/>
        </w:rPr>
        <w:t xml:space="preserve">   ==============================================================================</w:t>
      </w:r>
    </w:p>
    <w:p>
      <w:pPr>
        <w:spacing w:before="40" w:after="120" w:line="276" w:lineRule="auto"/>
      </w:pPr>
      <w:r>
        <w:rPr>
          <w:rFonts w:ascii="Calibri" w:hAnsi="Calibri"/>
          <w:color w:val="1F2937"/>
          <w:sz w:val="21"/>
        </w:rPr>
        <w:t xml:space="preserve">     STEP 5: FOUR-TIER MATHEMATICAL PROOF ENGINE VERIFICATION</w:t>
      </w:r>
    </w:p>
    <w:p>
      <w:pPr>
        <w:spacing w:before="40" w:after="120" w:line="276" w:lineRule="auto"/>
      </w:pPr>
      <w:r>
        <w:rPr>
          <w:rFonts w:ascii="Calibri" w:hAnsi="Calibri"/>
          <w:color w:val="1F2937"/>
          <w:sz w:val="21"/>
        </w:rPr>
        <w:t xml:space="preserve">   ==============================================================================</w:t>
      </w:r>
    </w:p>
    <w:p>
      <w:pPr>
        <w:spacing w:before="40" w:after="120" w:line="276" w:lineRule="auto"/>
      </w:pPr>
      <w:r>
        <w:rPr>
          <w:rFonts w:ascii="Calibri" w:hAnsi="Calibri"/>
          <w:color w:val="1F2937"/>
          <w:sz w:val="21"/>
        </w:rPr>
        <w:t xml:space="preserve">   [*] Tier 1 (Schema Parity):             PASSED (100% column ordinals aligned)</w:t>
      </w:r>
    </w:p>
    <w:p>
      <w:pPr>
        <w:spacing w:before="40" w:after="120" w:line="276" w:lineRule="auto"/>
      </w:pPr>
      <w:r>
        <w:rPr>
          <w:rFonts w:ascii="Calibri" w:hAnsi="Calibri"/>
          <w:color w:val="1F2937"/>
          <w:sz w:val="21"/>
        </w:rPr>
        <w:t xml:space="preserve">   [*] Tier 2 (Cardinality &amp; Null Bounds): PASSED (15/15 rows reconciled)</w:t>
      </w:r>
    </w:p>
    <w:p>
      <w:pPr>
        <w:spacing w:before="40" w:after="120" w:line="276" w:lineRule="auto"/>
      </w:pPr>
      <w:r>
        <w:rPr>
          <w:rFonts w:ascii="Calibri" w:hAnsi="Calibri"/>
          <w:color w:val="1F2937"/>
          <w:sz w:val="21"/>
        </w:rPr>
        <w:t xml:space="preserve">   [*] Tier 3 (Commutative XOR Hash):      PASSED</w:t>
      </w:r>
    </w:p>
    <w:p>
      <w:pPr>
        <w:pStyle w:val="ListBullet"/>
        <w:spacing w:before="20" w:after="40"/>
        <w:ind w:left="1440"/>
      </w:pPr>
      <w:r>
        <w:rPr>
          <w:rFonts w:ascii="Calibri" w:hAnsi="Calibri"/>
          <w:color w:val="1F2937"/>
          <w:sz w:val="21"/>
        </w:rPr>
        <w:t>Source XOR Hash: 0x8803b7747956bbf1ff123f464bf7fe8d2a901dda04a7d84a723d89c155c0b9dd</w:t>
      </w:r>
    </w:p>
    <w:p>
      <w:pPr>
        <w:pStyle w:val="ListBullet"/>
        <w:spacing w:before="20" w:after="40"/>
        <w:ind w:left="1440"/>
      </w:pPr>
      <w:r>
        <w:rPr>
          <w:rFonts w:ascii="Calibri" w:hAnsi="Calibri"/>
          <w:color w:val="1F2937"/>
          <w:sz w:val="21"/>
        </w:rPr>
        <w:t>Target XOR Hash: 0x8803b7747956bbf1ff123f464bf7fe8d2a901dda04a7d84a723d89c155c0b9dd</w:t>
      </w:r>
    </w:p>
    <w:p>
      <w:pPr>
        <w:spacing w:before="40" w:after="120" w:line="276" w:lineRule="auto"/>
      </w:pPr>
      <w:r>
        <w:rPr>
          <w:rFonts w:ascii="Calibri" w:hAnsi="Calibri"/>
          <w:color w:val="1F2937"/>
          <w:sz w:val="21"/>
        </w:rPr>
        <w:t xml:space="preserve">   [*] Tier 4 (Statistical Moment Parity): PASSED (Financial Sum: $3,764.80 == $3,764.80)</w:t>
      </w:r>
    </w:p>
    <w:p>
      <w:pPr>
        <w:spacing w:before="40" w:after="120" w:line="276" w:lineRule="auto"/>
      </w:pPr>
      <w:r>
        <w:rPr>
          <w:rFonts w:ascii="Calibri" w:hAnsi="Calibri"/>
          <w:color w:val="1F2937"/>
          <w:sz w:val="21"/>
        </w:rPr>
        <w:t xml:space="preserve">   </w:t>
      </w:r>
      <w:r>
        <w:rPr>
          <w:rFonts w:ascii="Consolas" w:hAnsi="Consolas"/>
          <w:color w:val="B91C1C"/>
          <w:sz w:val="19"/>
        </w:rPr>
      </w:r>
      <w:r>
        <w:rPr>
          <w:rFonts w:ascii="Calibri" w:hAnsi="Calibri"/>
          <w:color w:val="1F2937"/>
          <w:sz w:val="21"/>
        </w:rPr>
        <w:t>`</w:t>
      </w:r>
    </w:p>
    <w:p>
      <w:pPr>
        <w:spacing w:before="240" w:after="80"/>
      </w:pPr>
      <w:r>
        <w:rPr>
          <w:rFonts w:ascii="Calibri" w:hAnsi="Calibri"/>
          <w:b/>
          <w:color w:val="1E40AF"/>
          <w:sz w:val="26"/>
        </w:rPr>
        <w:t>Step 2: Launch the Modernization Cockpit (FastAPI + React SPA)</w:t>
      </w:r>
    </w:p>
    <w:p>
      <w:pPr>
        <w:spacing w:before="40" w:after="120" w:line="276" w:lineRule="auto"/>
      </w:pPr>
      <w:r>
        <w:rPr>
          <w:rFonts w:ascii="Calibri" w:hAnsi="Calibri"/>
          <w:color w:val="1F2937"/>
          <w:sz w:val="21"/>
        </w:rPr>
        <w:t>Run the web server:</w:t>
      </w:r>
    </w:p>
    <w:tbl>
      <w:tblPr>
        <w:tblW w:type="auto" w:w="0"/>
        <w:jc w:val="center"/>
        <w:tblLayout w:type="fixed"/>
        <w:tblLook w:firstColumn="1" w:firstRow="1" w:lastColumn="0" w:lastRow="0" w:noHBand="0" w:noVBand="1" w:val="04A0"/>
        <w:tblBorders>
          <w:top w:val="single" w:sz="6" w:space="0" w:color="334155"/>
          <w:bottom w:val="single" w:sz="6" w:space="0" w:color="334155"/>
          <w:left w:val="single" w:sz="6" w:space="0" w:color="334155"/>
          <w:right w:val="single" w:sz="6" w:space="0" w:color="334155"/>
          <w:insideH w:val="none"/>
          <w:insideV w:val="none"/>
        </w:tblBorders>
      </w:tblPr>
      <w:tblGrid>
        <w:gridCol w:w="9360"/>
      </w:tblGrid>
      <w:tr>
        <w:tc>
          <w:tcPr>
            <w:tcW w:type="dxa" w:w="9360"/>
            <w:shd w:fill="0F172A"/>
            <w:tcMar>
              <w:top w:w="140" w:type="dxa"/>
              <w:bottom w:w="140" w:type="dxa"/>
              <w:left w:w="200" w:type="dxa"/>
              <w:right w:w="200" w:type="dxa"/>
            </w:tcMar>
          </w:tcPr>
          <w:p>
            <w:pPr>
              <w:spacing w:after="80"/>
            </w:pPr>
            <w:r>
              <w:rPr>
                <w:rFonts w:ascii="Consolas" w:hAnsi="Consolas"/>
                <w:b/>
                <w:color w:val="60A5FA"/>
                <w:sz w:val="17"/>
              </w:rPr>
              <w:t>CODE [BASH]</w:t>
            </w:r>
          </w:p>
          <w:p>
            <w:pPr>
              <w:spacing w:before="0" w:after="0" w:line="276" w:lineRule="auto"/>
            </w:pPr>
            <w:r>
              <w:rPr>
                <w:rFonts w:ascii="Consolas" w:hAnsi="Consolas"/>
                <w:color w:val="F1F5F9"/>
                <w:sz w:val="18"/>
              </w:rPr>
              <w:t>python run_server.py</w:t>
            </w:r>
          </w:p>
        </w:tc>
      </w:tr>
    </w:tbl>
    <w:p>
      <w:pPr>
        <w:spacing w:before="80" w:after="80"/>
      </w:pPr>
    </w:p>
    <w:p>
      <w:pPr>
        <w:spacing w:before="40" w:after="120" w:line="276" w:lineRule="auto"/>
      </w:pPr>
      <w:r>
        <w:rPr>
          <w:rFonts w:ascii="Calibri" w:hAnsi="Calibri"/>
          <w:color w:val="1F2937"/>
          <w:sz w:val="21"/>
        </w:rPr>
        <w:t xml:space="preserve">Open your browser to </w:t>
      </w:r>
      <w:r>
        <w:rPr>
          <w:rFonts w:ascii="Consolas" w:hAnsi="Consolas"/>
          <w:color w:val="B91C1C"/>
          <w:sz w:val="19"/>
        </w:rPr>
        <w:t>http://localhost:8000/</w:t>
      </w:r>
      <w:r>
        <w:rPr>
          <w:rFonts w:ascii="Calibri" w:hAnsi="Calibri"/>
          <w:color w:val="1F2937"/>
          <w:sz w:val="21"/>
        </w:rPr>
        <w:t>. You can visually explore connections, inspect data distributions, customize partition specs, and observe migration progress.</w:t>
      </w:r>
    </w:p>
    <w:p>
      <w:pPr>
        <w:spacing w:before="200" w:after="60"/>
      </w:pPr>
      <w:r>
        <w:rPr>
          <w:rFonts w:ascii="Calibri" w:hAnsi="Calibri"/>
          <w:b/>
          <w:color w:val="374151"/>
          <w:sz w:val="23"/>
        </w:rPr>
        <w:t>Visual Tour of the Production Cockpit:</w:t>
      </w:r>
    </w:p>
    <w:p>
      <w:pPr>
        <w:spacing w:before="160" w:after="40"/>
      </w:pPr>
      <w:r>
        <w:rPr>
          <w:rFonts w:ascii="Calibri" w:hAnsi="Calibri"/>
          <w:b/>
          <w:color w:val="4B5563"/>
          <w:sz w:val="22"/>
        </w:rPr>
        <w:t>1. Universal Database Sources Console</w:t>
      </w:r>
    </w:p>
    <w:p>
      <w:pPr>
        <w:spacing w:before="40" w:after="120" w:line="276" w:lineRule="auto"/>
      </w:pPr>
      <w:r>
        <w:rPr>
          <w:rFonts w:ascii="Calibri" w:hAnsi="Calibri"/>
          <w:color w:val="1F2937"/>
          <w:sz w:val="21"/>
        </w:rPr>
        <w:t>Connect dynamically to PostgreSQL, Oracle Exadata, Snowflake, MongoDB, and AWS S3/GCS. Test connectivity and run governed SQL queries protected by the AgentGuard firewall.</w:t>
      </w:r>
    </w:p>
    <w:p>
      <w:pPr>
        <w:spacing w:before="240" w:after="80"/>
        <w:jc w:val="center"/>
      </w:pPr>
      <w:r>
        <w:drawing>
          <wp:inline xmlns:a="http://schemas.openxmlformats.org/drawingml/2006/main" xmlns:pic="http://schemas.openxmlformats.org/drawingml/2006/picture">
            <wp:extent cx="5669280" cy="2787264"/>
            <wp:docPr id="5" name="Picture 5"/>
            <wp:cNvGraphicFramePr>
              <a:graphicFrameLocks noChangeAspect="1"/>
            </wp:cNvGraphicFramePr>
            <a:graphic>
              <a:graphicData uri="http://schemas.openxmlformats.org/drawingml/2006/picture">
                <pic:pic>
                  <pic:nvPicPr>
                    <pic:cNvPr id="0" name="home.png"/>
                    <pic:cNvPicPr/>
                  </pic:nvPicPr>
                  <pic:blipFill>
                    <a:blip r:embed="rId13"/>
                    <a:stretch>
                      <a:fillRect/>
                    </a:stretch>
                  </pic:blipFill>
                  <pic:spPr>
                    <a:xfrm>
                      <a:off x="0" y="0"/>
                      <a:ext cx="5669280" cy="2787264"/>
                    </a:xfrm>
                    <a:prstGeom prst="rect"/>
                  </pic:spPr>
                </pic:pic>
              </a:graphicData>
            </a:graphic>
          </wp:inline>
        </w:drawing>
      </w:r>
    </w:p>
    <w:p>
      <w:pPr>
        <w:spacing w:before="40" w:after="240"/>
        <w:jc w:val="center"/>
      </w:pPr>
      <w:r>
        <w:rPr>
          <w:rFonts w:ascii="Calibri" w:hAnsi="Calibri"/>
          <w:i/>
          <w:color w:val="6B7280"/>
          <w:sz w:val="18"/>
        </w:rPr>
        <w:t>Figure 5: Universal Database Sources interface and AgentGuard query console.</w:t>
      </w:r>
    </w:p>
    <w:p>
      <w:pPr>
        <w:spacing w:before="160" w:after="40"/>
      </w:pPr>
      <w:r>
        <w:rPr>
          <w:rFonts w:ascii="Calibri" w:hAnsi="Calibri"/>
          <w:b/>
          <w:color w:val="4B5563"/>
          <w:sz w:val="22"/>
        </w:rPr>
        <w:t>2. Estate Discovery &amp; Automated Profiling</w:t>
      </w:r>
    </w:p>
    <w:p>
      <w:pPr>
        <w:spacing w:before="40" w:after="120" w:line="276" w:lineRule="auto"/>
      </w:pPr>
      <w:r>
        <w:rPr>
          <w:rFonts w:ascii="Calibri" w:hAnsi="Calibri"/>
          <w:color w:val="1F2937"/>
          <w:sz w:val="21"/>
        </w:rPr>
        <w:t>Deep-scan schemas, foreign keys, partition specs, and update frequencies. Automatically map PII attributes to Google Cloud Dataplex policy tags.</w:t>
      </w:r>
    </w:p>
    <w:p>
      <w:pPr>
        <w:spacing w:before="240" w:after="80"/>
        <w:jc w:val="center"/>
      </w:pPr>
      <w:r>
        <w:drawing>
          <wp:inline xmlns:a="http://schemas.openxmlformats.org/drawingml/2006/main" xmlns:pic="http://schemas.openxmlformats.org/drawingml/2006/picture">
            <wp:extent cx="5669280" cy="2822813"/>
            <wp:docPr id="6" name="Picture 6"/>
            <wp:cNvGraphicFramePr>
              <a:graphicFrameLocks noChangeAspect="1"/>
            </wp:cNvGraphicFramePr>
            <a:graphic>
              <a:graphicData uri="http://schemas.openxmlformats.org/drawingml/2006/picture">
                <pic:pic>
                  <pic:nvPicPr>
                    <pic:cNvPr id="0" name="estate_discovery.png"/>
                    <pic:cNvPicPr/>
                  </pic:nvPicPr>
                  <pic:blipFill>
                    <a:blip r:embed="rId14"/>
                    <a:stretch>
                      <a:fillRect/>
                    </a:stretch>
                  </pic:blipFill>
                  <pic:spPr>
                    <a:xfrm>
                      <a:off x="0" y="0"/>
                      <a:ext cx="5669280" cy="2822813"/>
                    </a:xfrm>
                    <a:prstGeom prst="rect"/>
                  </pic:spPr>
                </pic:pic>
              </a:graphicData>
            </a:graphic>
          </wp:inline>
        </w:drawing>
      </w:r>
    </w:p>
    <w:p>
      <w:pPr>
        <w:spacing w:before="40" w:after="240"/>
        <w:jc w:val="center"/>
      </w:pPr>
      <w:r>
        <w:rPr>
          <w:rFonts w:ascii="Calibri" w:hAnsi="Calibri"/>
          <w:i/>
          <w:color w:val="6B7280"/>
          <w:sz w:val="18"/>
        </w:rPr>
        <w:t>Figure 6: Estate Discovery profiling tables and generating the canonical DataAsset graph.</w:t>
      </w:r>
    </w:p>
    <w:p>
      <w:pPr>
        <w:spacing w:before="160" w:after="40"/>
      </w:pPr>
      <w:r>
        <w:rPr>
          <w:rFonts w:ascii="Calibri" w:hAnsi="Calibri"/>
          <w:b/>
          <w:color w:val="4B5563"/>
          <w:sz w:val="22"/>
        </w:rPr>
        <w:t>3. Next-Gen Data Studio (Clean, Impute &amp; Mask)</w:t>
      </w:r>
    </w:p>
    <w:p>
      <w:pPr>
        <w:spacing w:before="40" w:after="120" w:line="276" w:lineRule="auto"/>
      </w:pPr>
      <w:r>
        <w:rPr>
          <w:rFonts w:ascii="Calibri" w:hAnsi="Calibri"/>
          <w:color w:val="1F2937"/>
          <w:sz w:val="21"/>
        </w:rPr>
        <w:t>Inspect column-level distributions, whitespace padding, and null rates. Apply interactive sanitization rules, Dataplex PII masking, and Format-Preserving Encryption with live before-and-after quality scores.</w:t>
      </w:r>
    </w:p>
    <w:p>
      <w:pPr>
        <w:spacing w:before="240" w:after="80"/>
        <w:jc w:val="center"/>
      </w:pPr>
      <w:r>
        <w:drawing>
          <wp:inline xmlns:a="http://schemas.openxmlformats.org/drawingml/2006/main" xmlns:pic="http://schemas.openxmlformats.org/drawingml/2006/picture">
            <wp:extent cx="5669280" cy="2676941"/>
            <wp:docPr id="7" name="Picture 7"/>
            <wp:cNvGraphicFramePr>
              <a:graphicFrameLocks noChangeAspect="1"/>
            </wp:cNvGraphicFramePr>
            <a:graphic>
              <a:graphicData uri="http://schemas.openxmlformats.org/drawingml/2006/picture">
                <pic:pic>
                  <pic:nvPicPr>
                    <pic:cNvPr id="0" name="data_cleaning.png"/>
                    <pic:cNvPicPr/>
                  </pic:nvPicPr>
                  <pic:blipFill>
                    <a:blip r:embed="rId15"/>
                    <a:stretch>
                      <a:fillRect/>
                    </a:stretch>
                  </pic:blipFill>
                  <pic:spPr>
                    <a:xfrm>
                      <a:off x="0" y="0"/>
                      <a:ext cx="5669280" cy="2676941"/>
                    </a:xfrm>
                    <a:prstGeom prst="rect"/>
                  </pic:spPr>
                </pic:pic>
              </a:graphicData>
            </a:graphic>
          </wp:inline>
        </w:drawing>
      </w:r>
    </w:p>
    <w:p>
      <w:pPr>
        <w:spacing w:before="40" w:after="240"/>
        <w:jc w:val="center"/>
      </w:pPr>
      <w:r>
        <w:rPr>
          <w:rFonts w:ascii="Calibri" w:hAnsi="Calibri"/>
          <w:i/>
          <w:color w:val="6B7280"/>
          <w:sz w:val="18"/>
        </w:rPr>
        <w:t>Figure 7: Next-Gen Data Studio for interactive data cleansing, null imputation, and PII masking.</w:t>
      </w:r>
    </w:p>
    <w:p>
      <w:pPr>
        <w:spacing w:before="160" w:after="40"/>
      </w:pPr>
      <w:r>
        <w:rPr>
          <w:rFonts w:ascii="Calibri" w:hAnsi="Calibri"/>
          <w:b/>
          <w:color w:val="4B5563"/>
          <w:sz w:val="22"/>
        </w:rPr>
        <w:t>4. Iceberg Layout Customizer &amp; Target Schema Finalizer</w:t>
      </w:r>
    </w:p>
    <w:p>
      <w:pPr>
        <w:spacing w:before="40" w:after="120" w:line="276" w:lineRule="auto"/>
      </w:pPr>
      <w:r>
        <w:rPr>
          <w:rFonts w:ascii="Calibri" w:hAnsi="Calibri"/>
          <w:color w:val="1F2937"/>
          <w:sz w:val="21"/>
        </w:rPr>
        <w:t>Customize target Iceberg v2 hidden partitions (</w:t>
      </w:r>
      <w:r>
        <w:rPr>
          <w:rFonts w:ascii="Consolas" w:hAnsi="Consolas"/>
          <w:color w:val="B91C1C"/>
          <w:sz w:val="19"/>
        </w:rPr>
        <w:t>days</w:t>
      </w:r>
      <w:r>
        <w:rPr>
          <w:rFonts w:ascii="Calibri" w:hAnsi="Calibri"/>
          <w:color w:val="1F2937"/>
          <w:sz w:val="21"/>
        </w:rPr>
        <w:t xml:space="preserve">, </w:t>
      </w:r>
      <w:r>
        <w:rPr>
          <w:rFonts w:ascii="Consolas" w:hAnsi="Consolas"/>
          <w:color w:val="B91C1C"/>
          <w:sz w:val="19"/>
        </w:rPr>
        <w:t>bucket</w:t>
      </w:r>
      <w:r>
        <w:rPr>
          <w:rFonts w:ascii="Calibri" w:hAnsi="Calibri"/>
          <w:color w:val="1F2937"/>
          <w:sz w:val="21"/>
        </w:rPr>
        <w:t>), configure Z-ordering sort keys, select Parquet target chunk sizes (256MB), and generate BigLake DDL with 1-click migration dispatch.</w:t>
      </w:r>
    </w:p>
    <w:p>
      <w:pPr>
        <w:spacing w:before="240" w:after="80"/>
        <w:jc w:val="center"/>
      </w:pPr>
      <w:r>
        <w:drawing>
          <wp:inline xmlns:a="http://schemas.openxmlformats.org/drawingml/2006/main" xmlns:pic="http://schemas.openxmlformats.org/drawingml/2006/picture">
            <wp:extent cx="5669280" cy="2850410"/>
            <wp:docPr id="8" name="Picture 8"/>
            <wp:cNvGraphicFramePr>
              <a:graphicFrameLocks noChangeAspect="1"/>
            </wp:cNvGraphicFramePr>
            <a:graphic>
              <a:graphicData uri="http://schemas.openxmlformats.org/drawingml/2006/picture">
                <pic:pic>
                  <pic:nvPicPr>
                    <pic:cNvPr id="0" name="finalizing_iceberg.png"/>
                    <pic:cNvPicPr/>
                  </pic:nvPicPr>
                  <pic:blipFill>
                    <a:blip r:embed="rId16"/>
                    <a:stretch>
                      <a:fillRect/>
                    </a:stretch>
                  </pic:blipFill>
                  <pic:spPr>
                    <a:xfrm>
                      <a:off x="0" y="0"/>
                      <a:ext cx="5669280" cy="2850410"/>
                    </a:xfrm>
                    <a:prstGeom prst="rect"/>
                  </pic:spPr>
                </pic:pic>
              </a:graphicData>
            </a:graphic>
          </wp:inline>
        </w:drawing>
      </w:r>
    </w:p>
    <w:p>
      <w:pPr>
        <w:spacing w:before="40" w:after="240"/>
        <w:jc w:val="center"/>
      </w:pPr>
      <w:r>
        <w:rPr>
          <w:rFonts w:ascii="Calibri" w:hAnsi="Calibri"/>
          <w:i/>
          <w:color w:val="6B7280"/>
          <w:sz w:val="18"/>
        </w:rPr>
        <w:t>Figure 8: Customizing Apache Iceberg v2 hidden partitioning and BigLake catalog registration.</w:t>
      </w:r>
    </w:p>
    <w:p>
      <w:pPr>
        <w:spacing w:before="240" w:after="80"/>
      </w:pPr>
      <w:r>
        <w:rPr>
          <w:rFonts w:ascii="Calibri" w:hAnsi="Calibri"/>
          <w:b/>
          <w:color w:val="1E40AF"/>
          <w:sz w:val="26"/>
        </w:rPr>
        <w:t>Step 3: Run the Test Suite</w:t>
      </w:r>
    </w:p>
    <w:p>
      <w:pPr>
        <w:spacing w:before="40" w:after="120" w:line="276" w:lineRule="auto"/>
      </w:pPr>
      <w:r>
        <w:rPr>
          <w:rFonts w:ascii="Calibri" w:hAnsi="Calibri"/>
          <w:color w:val="1F2937"/>
          <w:sz w:val="21"/>
        </w:rPr>
        <w:t>Verify that all unit and integration tests pass:</w:t>
      </w:r>
    </w:p>
    <w:tbl>
      <w:tblPr>
        <w:tblW w:type="auto" w:w="0"/>
        <w:jc w:val="center"/>
        <w:tblLayout w:type="fixed"/>
        <w:tblLook w:firstColumn="1" w:firstRow="1" w:lastColumn="0" w:lastRow="0" w:noHBand="0" w:noVBand="1" w:val="04A0"/>
        <w:tblBorders>
          <w:top w:val="single" w:sz="6" w:space="0" w:color="334155"/>
          <w:bottom w:val="single" w:sz="6" w:space="0" w:color="334155"/>
          <w:left w:val="single" w:sz="6" w:space="0" w:color="334155"/>
          <w:right w:val="single" w:sz="6" w:space="0" w:color="334155"/>
          <w:insideH w:val="none"/>
          <w:insideV w:val="none"/>
        </w:tblBorders>
      </w:tblPr>
      <w:tblGrid>
        <w:gridCol w:w="9360"/>
      </w:tblGrid>
      <w:tr>
        <w:tc>
          <w:tcPr>
            <w:tcW w:type="dxa" w:w="9360"/>
            <w:shd w:fill="0F172A"/>
            <w:tcMar>
              <w:top w:w="140" w:type="dxa"/>
              <w:bottom w:w="140" w:type="dxa"/>
              <w:left w:w="200" w:type="dxa"/>
              <w:right w:w="200" w:type="dxa"/>
            </w:tcMar>
          </w:tcPr>
          <w:p>
            <w:pPr>
              <w:spacing w:after="80"/>
            </w:pPr>
            <w:r>
              <w:rPr>
                <w:rFonts w:ascii="Consolas" w:hAnsi="Consolas"/>
                <w:b/>
                <w:color w:val="60A5FA"/>
                <w:sz w:val="17"/>
              </w:rPr>
              <w:t>CODE [BASH]</w:t>
            </w:r>
          </w:p>
          <w:p>
            <w:pPr>
              <w:spacing w:before="0" w:after="0" w:line="276" w:lineRule="auto"/>
            </w:pPr>
            <w:r>
              <w:rPr>
                <w:rFonts w:ascii="Consolas" w:hAnsi="Consolas"/>
                <w:color w:val="F1F5F9"/>
                <w:sz w:val="18"/>
              </w:rPr>
              <w:t>python -m pytest tests/ -v</w:t>
            </w:r>
          </w:p>
        </w:tc>
      </w:tr>
    </w:tbl>
    <w:p>
      <w:pPr>
        <w:spacing w:before="80" w:after="80"/>
      </w:pPr>
    </w:p>
    <w:p>
      <w:pPr>
        <w:spacing w:before="40" w:after="120" w:line="276" w:lineRule="auto"/>
      </w:pPr>
      <w:r>
        <w:rPr>
          <w:rFonts w:ascii="Calibri" w:hAnsi="Calibri"/>
          <w:color w:val="1F2937"/>
          <w:sz w:val="21"/>
        </w:rPr>
        <w:t xml:space="preserve">All 8 test suites pass in </w:t>
      </w:r>
      <w:r>
        <w:rPr>
          <w:rFonts w:ascii="Calibri" w:hAnsi="Calibri"/>
          <w:b/>
          <w:color w:val="1F2937"/>
          <w:sz w:val="21"/>
        </w:rPr>
        <w:t>~3 seconds</w:t>
      </w:r>
      <w:r>
        <w:rPr>
          <w:rFonts w:ascii="Calibri" w:hAnsi="Calibri"/>
          <w:color w:val="1F2937"/>
          <w:sz w:val="21"/>
        </w:rPr>
        <w:t>.</w:t>
      </w:r>
    </w:p>
    <w:p>
      <w:pPr>
        <w:spacing w:before="160" w:after="160"/>
      </w:pPr>
      <w:r>
        <w:rPr>
          <w:color w:val="D1D5DB"/>
        </w:rPr>
        <w:t>―――――――――――――――――――――――――――――――――――――――――――――</w:t>
      </w:r>
    </w:p>
    <w:p>
      <w:pPr>
        <w:spacing w:before="320" w:after="120"/>
      </w:pPr>
      <w:r>
        <w:rPr>
          <w:rFonts w:ascii="Calibri" w:hAnsi="Calibri"/>
          <w:b/>
          <w:color w:val="2563EB"/>
          <w:sz w:val="32"/>
        </w:rPr>
        <w:t>10. Repository Structure &amp; GitHub Setup</w:t>
      </w:r>
    </w:p>
    <w:p>
      <w:pPr>
        <w:spacing w:before="40" w:after="120" w:line="276" w:lineRule="auto"/>
      </w:pPr>
      <w:r>
        <w:rPr>
          <w:rFonts w:ascii="Calibri" w:hAnsi="Calibri"/>
          <w:color w:val="1F2937"/>
          <w:sz w:val="21"/>
        </w:rPr>
        <w:t>If you wish to clone and deploy this project to your own GitHub repository, here is the directory layout:</w:t>
      </w:r>
    </w:p>
    <w:tbl>
      <w:tblPr>
        <w:tblW w:type="auto" w:w="0"/>
        <w:jc w:val="center"/>
        <w:tblLayout w:type="fixed"/>
        <w:tblLook w:firstColumn="1" w:firstRow="1" w:lastColumn="0" w:lastRow="0" w:noHBand="0" w:noVBand="1" w:val="04A0"/>
        <w:tblBorders>
          <w:top w:val="single" w:sz="6" w:space="0" w:color="334155"/>
          <w:bottom w:val="single" w:sz="6" w:space="0" w:color="334155"/>
          <w:left w:val="single" w:sz="6" w:space="0" w:color="334155"/>
          <w:right w:val="single" w:sz="6" w:space="0" w:color="334155"/>
          <w:insideH w:val="none"/>
          <w:insideV w:val="none"/>
        </w:tblBorders>
      </w:tblPr>
      <w:tblGrid>
        <w:gridCol w:w="9360"/>
      </w:tblGrid>
      <w:tr>
        <w:tc>
          <w:tcPr>
            <w:tcW w:type="dxa" w:w="9360"/>
            <w:shd w:fill="0F172A"/>
            <w:tcMar>
              <w:top w:w="140" w:type="dxa"/>
              <w:bottom w:w="140" w:type="dxa"/>
              <w:left w:w="200" w:type="dxa"/>
              <w:right w:w="200" w:type="dxa"/>
            </w:tcMar>
          </w:tcPr>
          <w:p>
            <w:pPr>
              <w:spacing w:before="0" w:after="0" w:line="276" w:lineRule="auto"/>
            </w:pPr>
            <w:r>
              <w:rPr>
                <w:rFonts w:ascii="Consolas" w:hAnsi="Consolas"/>
                <w:color w:val="F1F5F9"/>
                <w:sz w:val="18"/>
              </w:rPr>
              <w:t>nexuslake-agentic-architect/</w:t>
              <w:br/>
              <w:t>├── .agents/</w:t>
              <w:br/>
              <w:t>│   └── skills/</w:t>
              <w:br/>
              <w:t>│       └── nexuslake-architect/       # Antigravity architectural skill definition</w:t>
              <w:br/>
              <w:t>├── frontend/                          # Modernization Cockpit (React 18 + TS + Tailwind)</w:t>
              <w:br/>
              <w:t>│   ├── src/views/                     # 8 complete UI views (Studio, Wave, SRE, Proofs)</w:t>
              <w:br/>
              <w:t>│   └── package.json</w:t>
              <w:br/>
              <w:t>├── src/</w:t>
              <w:br/>
              <w:t>│   ├── agents/                        # 14 Gemini 3 agents (Discovery, Transpiler, SRE, etc.)</w:t>
              <w:br/>
              <w:t>│   ├── api/                           # FastAPI backend REST router (main.py)</w:t>
              <w:br/>
              <w:t>│   ├── connectors/                    # Universal DynamicConnectionManager</w:t>
              <w:br/>
              <w:t>│   ├── models/                        # DataAsset, MigrationBlueprint, ProofCertificate</w:t>
              <w:br/>
              <w:t>│   ├── policies/                      # AgentGuard policy firewall engine</w:t>
              <w:br/>
              <w:t>│   └── validation/                    # Four-Tier Proof Engine &amp; XOR Merkle math</w:t>
              <w:br/>
              <w:t>├── tests/                             # Comprehensive Pytest suite</w:t>
              <w:br/>
              <w:t>├── scripts/                           # Real data migration testing scripts</w:t>
              <w:br/>
              <w:t>├── nexuslake_architecture_infographic.jpg # Visual infographic asset</w:t>
              <w:br/>
              <w:t>├── BLOG_COLORFUL_DIAGRAMS_AND_MINDMAPS.md # Dedicated diagram documentation</w:t>
              <w:br/>
              <w:t>├── diagrams_interactive_viewer.html   # Standalone HTML viewer with 1-click SVG export</w:t>
              <w:br/>
              <w:t>├── run_server.py                      # Production server runner (FastAPI + React static)</w:t>
              <w:br/>
              <w:t>└── README.md                          # Master project documentation</w:t>
            </w:r>
          </w:p>
        </w:tc>
      </w:tr>
    </w:tbl>
    <w:p>
      <w:pPr>
        <w:spacing w:before="80" w:after="80"/>
      </w:pPr>
    </w:p>
    <w:p>
      <w:pPr>
        <w:spacing w:before="240" w:after="80"/>
      </w:pPr>
      <w:r>
        <w:rPr>
          <w:rFonts w:ascii="Calibri" w:hAnsi="Calibri"/>
          <w:b/>
          <w:color w:val="1E40AF"/>
          <w:sz w:val="26"/>
        </w:rPr>
        <w:t>Initializing and Pushing to GitHub:</w:t>
      </w:r>
    </w:p>
    <w:tbl>
      <w:tblPr>
        <w:tblW w:type="auto" w:w="0"/>
        <w:jc w:val="center"/>
        <w:tblLayout w:type="fixed"/>
        <w:tblLook w:firstColumn="1" w:firstRow="1" w:lastColumn="0" w:lastRow="0" w:noHBand="0" w:noVBand="1" w:val="04A0"/>
        <w:tblBorders>
          <w:top w:val="single" w:sz="6" w:space="0" w:color="334155"/>
          <w:bottom w:val="single" w:sz="6" w:space="0" w:color="334155"/>
          <w:left w:val="single" w:sz="6" w:space="0" w:color="334155"/>
          <w:right w:val="single" w:sz="6" w:space="0" w:color="334155"/>
          <w:insideH w:val="none"/>
          <w:insideV w:val="none"/>
        </w:tblBorders>
      </w:tblPr>
      <w:tblGrid>
        <w:gridCol w:w="9360"/>
      </w:tblGrid>
      <w:tr>
        <w:tc>
          <w:tcPr>
            <w:tcW w:type="dxa" w:w="9360"/>
            <w:shd w:fill="0F172A"/>
            <w:tcMar>
              <w:top w:w="140" w:type="dxa"/>
              <w:bottom w:w="140" w:type="dxa"/>
              <w:left w:w="200" w:type="dxa"/>
              <w:right w:w="200" w:type="dxa"/>
            </w:tcMar>
          </w:tcPr>
          <w:p>
            <w:pPr>
              <w:spacing w:after="80"/>
            </w:pPr>
            <w:r>
              <w:rPr>
                <w:rFonts w:ascii="Consolas" w:hAnsi="Consolas"/>
                <w:b/>
                <w:color w:val="60A5FA"/>
                <w:sz w:val="17"/>
              </w:rPr>
              <w:t>CODE [BASH]</w:t>
            </w:r>
          </w:p>
          <w:p>
            <w:pPr>
              <w:spacing w:before="0" w:after="0" w:line="276" w:lineRule="auto"/>
            </w:pPr>
            <w:r>
              <w:rPr>
                <w:rFonts w:ascii="Consolas" w:hAnsi="Consolas"/>
                <w:color w:val="F1F5F9"/>
                <w:sz w:val="18"/>
              </w:rPr>
              <w:t>git init</w:t>
              <w:br/>
              <w:t>git add .</w:t>
              <w:br/>
              <w:t>git commit -m "feat: complete NexusLake Agentic Architect platform with Gemini 3 agents &amp; Iceberg v2 engine"</w:t>
              <w:br/>
              <w:t>git branch -M main</w:t>
              <w:br/>
              <w:t>git remote add origin https://github.com/&lt;your-username&gt;/nexuslake-agentic-architect.git</w:t>
              <w:br/>
              <w:t>git push -u origin main</w:t>
            </w:r>
          </w:p>
        </w:tc>
      </w:tr>
    </w:tbl>
    <w:p>
      <w:pPr>
        <w:spacing w:before="80" w:after="80"/>
      </w:pPr>
    </w:p>
    <w:p>
      <w:pPr>
        <w:spacing w:before="160" w:after="160"/>
      </w:pPr>
      <w:r>
        <w:rPr>
          <w:color w:val="D1D5DB"/>
        </w:rPr>
        <w:t>―――――――――――――――――――――――――――――――――――――――――――――</w:t>
      </w:r>
    </w:p>
    <w:p>
      <w:pPr>
        <w:spacing w:before="320" w:after="120"/>
      </w:pPr>
      <w:r>
        <w:rPr>
          <w:rFonts w:ascii="Calibri" w:hAnsi="Calibri"/>
          <w:b/>
          <w:color w:val="2563EB"/>
          <w:sz w:val="32"/>
        </w:rPr>
        <w:t>11. Conclusion, Strategic Takeaways &amp; Medium Tags</w:t>
      </w:r>
    </w:p>
    <w:p>
      <w:pPr>
        <w:spacing w:before="40" w:after="120" w:line="276" w:lineRule="auto"/>
      </w:pPr>
      <w:r>
        <w:rPr>
          <w:rFonts w:ascii="Calibri" w:hAnsi="Calibri"/>
          <w:color w:val="1F2937"/>
          <w:sz w:val="21"/>
        </w:rPr>
        <w:t>Enterprise data modernization no longer requires years of manual SQL rewrites or risky blind migrations.</w:t>
      </w:r>
    </w:p>
    <w:p>
      <w:pPr>
        <w:spacing w:before="40" w:after="120" w:line="276" w:lineRule="auto"/>
      </w:pPr>
      <w:r>
        <w:rPr>
          <w:rFonts w:ascii="Calibri" w:hAnsi="Calibri"/>
          <w:color w:val="1F2937"/>
          <w:sz w:val="21"/>
        </w:rPr>
        <w:t xml:space="preserve">By combining </w:t>
      </w:r>
      <w:r>
        <w:rPr>
          <w:rFonts w:ascii="Calibri" w:hAnsi="Calibri"/>
          <w:b/>
          <w:color w:val="1F2937"/>
          <w:sz w:val="21"/>
        </w:rPr>
        <w:t>Apache Iceberg v2</w:t>
      </w:r>
      <w:r>
        <w:rPr>
          <w:rFonts w:ascii="Calibri" w:hAnsi="Calibri"/>
          <w:color w:val="1F2937"/>
          <w:sz w:val="21"/>
        </w:rPr>
        <w:t xml:space="preserve">, the </w:t>
      </w:r>
      <w:r>
        <w:rPr>
          <w:rFonts w:ascii="Calibri" w:hAnsi="Calibri"/>
          <w:b/>
          <w:color w:val="1F2937"/>
          <w:sz w:val="21"/>
        </w:rPr>
        <w:t>BigLake REST Catalog</w:t>
      </w:r>
      <w:r>
        <w:rPr>
          <w:rFonts w:ascii="Calibri" w:hAnsi="Calibri"/>
          <w:color w:val="1F2937"/>
          <w:sz w:val="21"/>
        </w:rPr>
        <w:t xml:space="preserve">, and </w:t>
      </w:r>
      <w:r>
        <w:rPr>
          <w:rFonts w:ascii="Calibri" w:hAnsi="Calibri"/>
          <w:b/>
          <w:color w:val="1F2937"/>
          <w:sz w:val="21"/>
        </w:rPr>
        <w:t>Google's Gemini 3 generation of models</w:t>
      </w:r>
      <w:r>
        <w:rPr>
          <w:rFonts w:ascii="Calibri" w:hAnsi="Calibri"/>
          <w:color w:val="1F2937"/>
          <w:sz w:val="21"/>
        </w:rPr>
        <w:t>, NexusLake proves that data modernization can be:</w:t>
      </w:r>
    </w:p>
    <w:p>
      <w:pPr>
        <w:pStyle w:val="ListBullet"/>
        <w:spacing w:before="20" w:after="40"/>
        <w:ind w:left="360"/>
      </w:pPr>
      <w:r>
        <w:rPr>
          <w:rFonts w:ascii="Calibri" w:hAnsi="Calibri"/>
          <w:b/>
          <w:color w:val="1F2937"/>
          <w:sz w:val="21"/>
        </w:rPr>
        <w:t>Autonomous:</w:t>
      </w:r>
      <w:r>
        <w:rPr>
          <w:rFonts w:ascii="Calibri" w:hAnsi="Calibri"/>
          <w:color w:val="1F2937"/>
          <w:sz w:val="21"/>
        </w:rPr>
        <w:t xml:space="preserve"> Automatically discovering assets, solving wave dependencies, and transpiling legacy stored procedures.</w:t>
      </w:r>
    </w:p>
    <w:p>
      <w:pPr>
        <w:pStyle w:val="ListBullet"/>
        <w:spacing w:before="20" w:after="40"/>
        <w:ind w:left="360"/>
      </w:pPr>
      <w:r>
        <w:rPr>
          <w:rFonts w:ascii="Calibri" w:hAnsi="Calibri"/>
          <w:b/>
          <w:color w:val="1F2937"/>
          <w:sz w:val="21"/>
        </w:rPr>
        <w:t>Zero-Egress Secure:</w:t>
      </w:r>
      <w:r>
        <w:rPr>
          <w:rFonts w:ascii="Calibri" w:hAnsi="Calibri"/>
          <w:color w:val="1F2937"/>
          <w:sz w:val="21"/>
        </w:rPr>
        <w:t xml:space="preserve"> Customer raw records remain inside the customer VPC; agents reason only over metadata and statistical sketches through the </w:t>
      </w:r>
      <w:r>
        <w:rPr>
          <w:rFonts w:ascii="Calibri" w:hAnsi="Calibri"/>
          <w:b/>
          <w:color w:val="1F2937"/>
          <w:sz w:val="21"/>
        </w:rPr>
        <w:t>AgentGuard</w:t>
      </w:r>
      <w:r>
        <w:rPr>
          <w:rFonts w:ascii="Calibri" w:hAnsi="Calibri"/>
          <w:color w:val="1F2937"/>
          <w:sz w:val="21"/>
        </w:rPr>
        <w:t xml:space="preserve"> firewall.</w:t>
      </w:r>
    </w:p>
    <w:p>
      <w:pPr>
        <w:pStyle w:val="ListBullet"/>
        <w:spacing w:before="20" w:after="40"/>
        <w:ind w:left="360"/>
      </w:pPr>
      <w:r>
        <w:rPr>
          <w:rFonts w:ascii="Calibri" w:hAnsi="Calibri"/>
          <w:b/>
          <w:color w:val="1F2937"/>
          <w:sz w:val="21"/>
        </w:rPr>
        <w:t>Mathematically Verifiable:</w:t>
      </w:r>
      <w:r>
        <w:rPr>
          <w:rFonts w:ascii="Calibri" w:hAnsi="Calibri"/>
          <w:color w:val="1F2937"/>
          <w:sz w:val="21"/>
        </w:rPr>
        <w:t xml:space="preserve"> Replacing basic row counts with </w:t>
      </w:r>
      <w:r>
        <w:rPr>
          <w:rFonts w:ascii="Calibri" w:hAnsi="Calibri"/>
          <w:b/>
          <w:color w:val="1F2937"/>
          <w:sz w:val="21"/>
        </w:rPr>
        <w:t>In-Engine Commutative XOR Merkle Hashes</w:t>
      </w:r>
      <w:r>
        <w:rPr>
          <w:rFonts w:ascii="Calibri" w:hAnsi="Calibri"/>
          <w:color w:val="1F2937"/>
          <w:sz w:val="21"/>
        </w:rPr>
        <w:t xml:space="preserve"> ($\bigoplus \text{SHA256}$) and statistical moment parity.</w:t>
      </w:r>
    </w:p>
    <w:p>
      <w:pPr>
        <w:pStyle w:val="ListBullet"/>
        <w:spacing w:before="20" w:after="40"/>
        <w:ind w:left="360"/>
      </w:pPr>
      <w:r>
        <w:rPr>
          <w:rFonts w:ascii="Calibri" w:hAnsi="Calibri"/>
          <w:b/>
          <w:color w:val="1F2937"/>
          <w:sz w:val="21"/>
        </w:rPr>
        <w:t>Cost-Optimized Day-2:</w:t>
      </w:r>
      <w:r>
        <w:rPr>
          <w:rFonts w:ascii="Calibri" w:hAnsi="Calibri"/>
          <w:color w:val="1F2937"/>
          <w:sz w:val="21"/>
        </w:rPr>
        <w:t xml:space="preserve"> Continuously monitoring file fragmentation and triggering compaction only when 30-day BigQuery scan savings yield an </w:t>
      </w:r>
      <w:r>
        <w:rPr>
          <w:rFonts w:ascii="Calibri" w:hAnsi="Calibri"/>
          <w:b/>
          <w:color w:val="1F2937"/>
          <w:sz w:val="21"/>
        </w:rPr>
        <w:t>$\text{ROI} \ge 2.5\times$</w:t>
      </w:r>
      <w:r>
        <w:rPr>
          <w:rFonts w:ascii="Calibri" w:hAnsi="Calibri"/>
          <w:color w:val="1F2937"/>
          <w:sz w:val="21"/>
        </w:rPr>
        <w:t>.</w:t>
      </w:r>
    </w:p>
    <w:p>
      <w:pPr>
        <w:spacing w:before="160" w:after="160"/>
      </w:pPr>
      <w:r>
        <w:rPr>
          <w:color w:val="D1D5DB"/>
        </w:rPr>
        <w:t>―――――――――――――――――――――――――――――――――――――――――――――</w:t>
      </w:r>
    </w:p>
    <w:p>
      <w:pPr>
        <w:spacing w:before="40" w:after="120" w:line="276" w:lineRule="auto"/>
      </w:pPr>
      <w:r>
        <w:rPr>
          <w:rFonts w:ascii="Calibri" w:hAnsi="Calibri"/>
          <w:i/>
          <w:color w:val="1F2937"/>
          <w:sz w:val="21"/>
        </w:rPr>
        <w:t>Did you find this architecture guide helpful? Claps 👏, bookmarks, and comments are appreciated. Let us know in the comments how your team is managing Apache Iceberg migrations!</w:t>
      </w:r>
    </w:p>
    <w:p>
      <w:pPr>
        <w:spacing w:before="160" w:after="160"/>
      </w:pPr>
      <w:r>
        <w:rPr>
          <w:color w:val="D1D5DB"/>
        </w:rPr>
        <w:t>―――――――――――――――――――――――――――――――――――――――――――――</w:t>
      </w:r>
    </w:p>
    <w:p>
      <w:pPr>
        <w:spacing w:before="40" w:after="120" w:line="276" w:lineRule="auto"/>
      </w:pPr>
      <w:r>
        <w:rPr>
          <w:rFonts w:ascii="Calibri" w:hAnsi="Calibri"/>
          <w:i/>
          <w:color w:val="1F2937"/>
          <w:sz w:val="21"/>
        </w:rPr>
        <w:t>Tags: #DataEngineering #ApacheIceberg #GoogleCloud #BigData #ArtificialIntelligence #FinOps #Lakehouse #Python #BigQuery</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1F2937"/>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