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44" w:rsidRDefault="002B106A" w:rsidP="007A51E4">
      <w:pPr>
        <w:pStyle w:val="Heading1"/>
      </w:pPr>
      <w:r>
        <w:t>Skills Inventory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458"/>
        <w:gridCol w:w="4680"/>
        <w:gridCol w:w="1350"/>
        <w:gridCol w:w="2088"/>
      </w:tblGrid>
      <w:tr w:rsidR="000E4A44" w:rsidTr="002B106A">
        <w:trPr>
          <w:cantSplit/>
          <w:trHeight w:val="360"/>
        </w:trPr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0E4A44" w:rsidRPr="002B106A" w:rsidRDefault="002B106A" w:rsidP="00AF58FB">
            <w:pPr>
              <w:spacing w:before="120" w:after="120"/>
              <w:rPr>
                <w:color w:val="EEECE1" w:themeColor="background2"/>
              </w:rPr>
            </w:pPr>
            <w:r>
              <w:t>Consultant</w:t>
            </w:r>
          </w:p>
        </w:tc>
        <w:tc>
          <w:tcPr>
            <w:tcW w:w="4680" w:type="dxa"/>
            <w:vAlign w:val="center"/>
          </w:tcPr>
          <w:p w:rsidR="000E4A44" w:rsidRDefault="002B106A" w:rsidP="00AF58FB">
            <w:pPr>
              <w:spacing w:before="120" w:after="120"/>
            </w:pPr>
            <w:r>
              <w:t>Michael Mohrbacher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0E4A44" w:rsidRDefault="000E4A44" w:rsidP="00AF58FB">
            <w:pPr>
              <w:spacing w:before="120" w:after="120"/>
            </w:pPr>
            <w:r>
              <w:t>Date</w:t>
            </w:r>
          </w:p>
        </w:tc>
        <w:tc>
          <w:tcPr>
            <w:tcW w:w="2088" w:type="dxa"/>
            <w:vAlign w:val="center"/>
          </w:tcPr>
          <w:p w:rsidR="000E4A44" w:rsidRDefault="00AF58FB" w:rsidP="00AF58FB">
            <w:pPr>
              <w:spacing w:before="120" w:after="120"/>
            </w:pPr>
            <w:r>
              <w:t>09/12</w:t>
            </w:r>
            <w:r w:rsidR="002B106A">
              <w:t>/2017</w:t>
            </w:r>
          </w:p>
        </w:tc>
      </w:tr>
    </w:tbl>
    <w:p w:rsidR="005A6175" w:rsidRDefault="005A6175"/>
    <w:tbl>
      <w:tblPr>
        <w:tblStyle w:val="TableGrid"/>
        <w:tblW w:w="4286" w:type="pct"/>
        <w:tblLook w:val="01E0" w:firstRow="1" w:lastRow="1" w:firstColumn="1" w:lastColumn="1" w:noHBand="0" w:noVBand="0"/>
      </w:tblPr>
      <w:tblGrid>
        <w:gridCol w:w="4609"/>
        <w:gridCol w:w="1800"/>
        <w:gridCol w:w="1800"/>
      </w:tblGrid>
      <w:tr w:rsidR="00AF58FB" w:rsidTr="00AF58FB">
        <w:trPr>
          <w:trHeight w:hRule="exact" w:val="360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AF58FB" w:rsidRDefault="00AF58FB" w:rsidP="00AF58FB">
            <w:pPr>
              <w:spacing w:before="120" w:after="120"/>
            </w:pPr>
            <w:r>
              <w:t>Skills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AF58FB" w:rsidRDefault="00AF58FB" w:rsidP="00AF58FB">
            <w:pPr>
              <w:spacing w:before="120" w:after="120"/>
              <w:ind w:right="432"/>
              <w:jc w:val="right"/>
            </w:pPr>
            <w:r>
              <w:t>Years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AF58FB" w:rsidRDefault="00AF58FB" w:rsidP="00AF58FB">
            <w:pPr>
              <w:spacing w:before="120" w:after="120"/>
              <w:ind w:right="432"/>
              <w:jc w:val="right"/>
            </w:pPr>
            <w:r>
              <w:t>Aptitude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AF58FB">
            <w:pPr>
              <w:spacing w:before="120" w:after="120"/>
              <w:jc w:val="both"/>
            </w:pPr>
            <w:r>
              <w:t>Architecture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10+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5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.NET / ASP.NET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10+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5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C#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10+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SQL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10+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WinForms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10+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proofErr w:type="spellStart"/>
            <w:r>
              <w:t>WebAPI</w:t>
            </w:r>
            <w:proofErr w:type="spellEnd"/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HTML 5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2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Web Services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&lt;1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2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Typescript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Bootstrap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&lt;1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2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Pr="002B106A" w:rsidRDefault="00AF58FB" w:rsidP="002B106A">
            <w:pPr>
              <w:spacing w:before="120" w:after="120"/>
              <w:jc w:val="both"/>
            </w:pPr>
            <w:r>
              <w:t>CSS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Default="00AF58FB" w:rsidP="002B106A">
            <w:pPr>
              <w:spacing w:before="120" w:after="120"/>
              <w:jc w:val="both"/>
            </w:pPr>
            <w:r>
              <w:t>SPA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Default="00AF58FB" w:rsidP="002B106A">
            <w:pPr>
              <w:spacing w:before="120" w:after="120"/>
              <w:jc w:val="both"/>
            </w:pPr>
            <w:proofErr w:type="spellStart"/>
            <w:r>
              <w:t>jQuery</w:t>
            </w:r>
            <w:proofErr w:type="spellEnd"/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5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4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Default="00AF58FB" w:rsidP="002B106A">
            <w:pPr>
              <w:spacing w:before="120" w:after="120"/>
              <w:jc w:val="both"/>
            </w:pPr>
            <w:r>
              <w:t>Angular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1</w:t>
            </w:r>
            <w:bookmarkStart w:id="0" w:name="_GoBack"/>
            <w:bookmarkEnd w:id="0"/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Default="00AF58FB" w:rsidP="002B106A">
            <w:pPr>
              <w:spacing w:before="120" w:after="120"/>
              <w:jc w:val="both"/>
            </w:pPr>
            <w:r>
              <w:t>Financial Industry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2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-</w:t>
            </w:r>
          </w:p>
        </w:tc>
      </w:tr>
      <w:tr w:rsidR="00AF58FB" w:rsidTr="00AF58FB">
        <w:trPr>
          <w:trHeight w:hRule="exact" w:val="360"/>
        </w:trPr>
        <w:tc>
          <w:tcPr>
            <w:tcW w:w="4608" w:type="dxa"/>
          </w:tcPr>
          <w:p w:rsidR="00AF58FB" w:rsidRDefault="00AF58FB" w:rsidP="002B106A">
            <w:pPr>
              <w:spacing w:before="120" w:after="120"/>
              <w:jc w:val="both"/>
            </w:pPr>
            <w:r>
              <w:t>Insurance Industry</w:t>
            </w:r>
          </w:p>
        </w:tc>
        <w:tc>
          <w:tcPr>
            <w:tcW w:w="1800" w:type="dxa"/>
            <w:vAlign w:val="center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&lt;1</w:t>
            </w:r>
          </w:p>
        </w:tc>
        <w:tc>
          <w:tcPr>
            <w:tcW w:w="1800" w:type="dxa"/>
          </w:tcPr>
          <w:p w:rsidR="00AF58FB" w:rsidRDefault="00166DA4" w:rsidP="002B106A">
            <w:pPr>
              <w:tabs>
                <w:tab w:val="left" w:pos="1152"/>
              </w:tabs>
              <w:ind w:right="432"/>
              <w:jc w:val="right"/>
            </w:pPr>
            <w:r>
              <w:t>-</w:t>
            </w:r>
          </w:p>
        </w:tc>
      </w:tr>
    </w:tbl>
    <w:p w:rsidR="005A6175" w:rsidRDefault="005A6175"/>
    <w:p w:rsidR="00460762" w:rsidRDefault="0046076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E4A44" w:rsidRDefault="008D2409" w:rsidP="008D2409">
      <w:pPr>
        <w:pStyle w:val="Heading1"/>
      </w:pPr>
      <w:r>
        <w:lastRenderedPageBreak/>
        <w:t>Experience / IPC</w:t>
      </w:r>
    </w:p>
    <w:p w:rsidR="00EC2275" w:rsidRDefault="00EC2275" w:rsidP="00EC2275">
      <w:pPr>
        <w:spacing w:before="120" w:after="120"/>
      </w:pPr>
      <w:r w:rsidRPr="00EC2275">
        <w:rPr>
          <w:u w:val="single"/>
        </w:rPr>
        <w:t xml:space="preserve">November 2014 – January </w:t>
      </w:r>
      <w:proofErr w:type="gramStart"/>
      <w:r w:rsidRPr="00EC2275">
        <w:rPr>
          <w:u w:val="single"/>
        </w:rPr>
        <w:t>2015 :</w:t>
      </w:r>
      <w:proofErr w:type="gramEnd"/>
      <w:r w:rsidRPr="00EC2275">
        <w:rPr>
          <w:u w:val="single"/>
        </w:rPr>
        <w:t xml:space="preserve"> Allstate</w:t>
      </w:r>
    </w:p>
    <w:p w:rsidR="00EC2275" w:rsidRPr="00EC2275" w:rsidRDefault="00EC2275" w:rsidP="00460762">
      <w:pPr>
        <w:pStyle w:val="ListParagraph"/>
        <w:numPr>
          <w:ilvl w:val="0"/>
          <w:numId w:val="7"/>
        </w:numPr>
        <w:spacing w:before="120" w:after="120"/>
        <w:ind w:left="360"/>
      </w:pPr>
      <w:r>
        <w:t>Write data collected from UI to TIBCO interface.</w:t>
      </w:r>
    </w:p>
    <w:p w:rsidR="008D2409" w:rsidRPr="008D2409" w:rsidRDefault="00EC2275" w:rsidP="008D2409">
      <w:pPr>
        <w:spacing w:before="120" w:after="120"/>
        <w:rPr>
          <w:u w:val="single"/>
        </w:rPr>
      </w:pPr>
      <w:r>
        <w:rPr>
          <w:u w:val="single"/>
        </w:rPr>
        <w:t xml:space="preserve">November 2102 – January </w:t>
      </w:r>
      <w:proofErr w:type="gramStart"/>
      <w:r>
        <w:rPr>
          <w:u w:val="single"/>
        </w:rPr>
        <w:t>2013 :</w:t>
      </w:r>
      <w:proofErr w:type="gramEnd"/>
      <w:r>
        <w:rPr>
          <w:u w:val="single"/>
        </w:rPr>
        <w:t xml:space="preserve"> </w:t>
      </w:r>
      <w:r w:rsidR="008D2409" w:rsidRPr="008D2409">
        <w:rPr>
          <w:u w:val="single"/>
        </w:rPr>
        <w:t>Astellas Pharma US, Inc.</w:t>
      </w:r>
    </w:p>
    <w:p w:rsidR="008D2409" w:rsidRDefault="008D2409" w:rsidP="00460762">
      <w:pPr>
        <w:pStyle w:val="ListParagraph"/>
        <w:numPr>
          <w:ilvl w:val="0"/>
          <w:numId w:val="7"/>
        </w:numPr>
        <w:ind w:left="360"/>
      </w:pPr>
      <w:r>
        <w:t>Used WCF interface to access SAP component.</w:t>
      </w:r>
    </w:p>
    <w:p w:rsidR="00EC2275" w:rsidRPr="00EC2275" w:rsidRDefault="00EC2275" w:rsidP="008D2409">
      <w:pPr>
        <w:rPr>
          <w:u w:val="single"/>
        </w:rPr>
      </w:pPr>
      <w:r w:rsidRPr="00EC2275">
        <w:rPr>
          <w:u w:val="single"/>
        </w:rPr>
        <w:t>January 2012 – March 2012</w:t>
      </w:r>
    </w:p>
    <w:p w:rsidR="00EC2275" w:rsidRDefault="00EC2275" w:rsidP="00460762">
      <w:pPr>
        <w:pStyle w:val="ListParagraph"/>
        <w:numPr>
          <w:ilvl w:val="0"/>
          <w:numId w:val="7"/>
        </w:numPr>
        <w:ind w:left="360"/>
      </w:pPr>
      <w:r>
        <w:t>Developed Azure web-service to access simple library check-out system implemented with Azure table-storage.</w:t>
      </w:r>
    </w:p>
    <w:p w:rsidR="00EC2275" w:rsidRDefault="00EC2275" w:rsidP="008D2409">
      <w:r w:rsidRPr="00EC2275">
        <w:rPr>
          <w:u w:val="single"/>
        </w:rPr>
        <w:t xml:space="preserve">October 2006 – November </w:t>
      </w:r>
      <w:proofErr w:type="gramStart"/>
      <w:r w:rsidRPr="00EC2275">
        <w:rPr>
          <w:u w:val="single"/>
        </w:rPr>
        <w:t>2008 :</w:t>
      </w:r>
      <w:proofErr w:type="gramEnd"/>
      <w:r w:rsidRPr="00EC2275">
        <w:rPr>
          <w:u w:val="single"/>
        </w:rPr>
        <w:t xml:space="preserve"> Options Clearing Corporation</w:t>
      </w:r>
    </w:p>
    <w:p w:rsidR="00EC2275" w:rsidRDefault="00EC2275" w:rsidP="00460762">
      <w:pPr>
        <w:pStyle w:val="ListParagraph"/>
        <w:numPr>
          <w:ilvl w:val="0"/>
          <w:numId w:val="7"/>
        </w:numPr>
        <w:ind w:left="360"/>
      </w:pPr>
      <w:r>
        <w:t>Collected price feed data from Bloomberg B-Pipe to Price Cache using DCOM as transport mechanism.</w:t>
      </w:r>
    </w:p>
    <w:p w:rsidR="00EC2275" w:rsidRDefault="00EC2275" w:rsidP="008D2409">
      <w:r w:rsidRPr="00EC2275">
        <w:rPr>
          <w:u w:val="single"/>
        </w:rPr>
        <w:t xml:space="preserve">December 2002 – November </w:t>
      </w:r>
      <w:proofErr w:type="gramStart"/>
      <w:r w:rsidRPr="00EC2275">
        <w:rPr>
          <w:u w:val="single"/>
        </w:rPr>
        <w:t>2005 :</w:t>
      </w:r>
      <w:proofErr w:type="gramEnd"/>
      <w:r w:rsidRPr="00EC2275">
        <w:rPr>
          <w:u w:val="single"/>
        </w:rPr>
        <w:t xml:space="preserve"> Bio-Imaging Research</w:t>
      </w:r>
    </w:p>
    <w:p w:rsidR="00EC2275" w:rsidRDefault="00EC2275" w:rsidP="00460762">
      <w:pPr>
        <w:pStyle w:val="ListParagraph"/>
        <w:numPr>
          <w:ilvl w:val="0"/>
          <w:numId w:val="7"/>
        </w:numPr>
        <w:ind w:left="360"/>
      </w:pPr>
      <w:r>
        <w:t>Built remote-data collection system in .NET using TCP/IP sockets.</w:t>
      </w:r>
    </w:p>
    <w:p w:rsidR="00EC2275" w:rsidRDefault="00EC2275" w:rsidP="00460762">
      <w:pPr>
        <w:pStyle w:val="ListParagraph"/>
        <w:numPr>
          <w:ilvl w:val="0"/>
          <w:numId w:val="6"/>
        </w:numPr>
        <w:spacing w:after="0"/>
        <w:ind w:left="360"/>
      </w:pPr>
      <w:r>
        <w:t>Wrote client and server libraries for simple communication through .NET implementation of Sockets.</w:t>
      </w:r>
    </w:p>
    <w:p w:rsidR="00EC2275" w:rsidRDefault="00460762" w:rsidP="00460762">
      <w:pPr>
        <w:pStyle w:val="ListParagraph"/>
        <w:numPr>
          <w:ilvl w:val="0"/>
          <w:numId w:val="6"/>
        </w:numPr>
        <w:ind w:left="360"/>
      </w:pPr>
      <w:r>
        <w:t>Coded point-to-point IPC interfaces based on custom transport and serialization layer.</w:t>
      </w:r>
    </w:p>
    <w:p w:rsidR="00460762" w:rsidRPr="00460762" w:rsidRDefault="00460762" w:rsidP="008D2409">
      <w:pPr>
        <w:rPr>
          <w:u w:val="single"/>
        </w:rPr>
      </w:pPr>
      <w:r w:rsidRPr="00460762">
        <w:rPr>
          <w:u w:val="single"/>
        </w:rPr>
        <w:t xml:space="preserve">June 2002- November </w:t>
      </w:r>
      <w:proofErr w:type="gramStart"/>
      <w:r w:rsidRPr="00460762">
        <w:rPr>
          <w:u w:val="single"/>
        </w:rPr>
        <w:t>2002 :</w:t>
      </w:r>
      <w:proofErr w:type="gramEnd"/>
      <w:r w:rsidRPr="00460762">
        <w:rPr>
          <w:u w:val="single"/>
        </w:rPr>
        <w:t xml:space="preserve"> </w:t>
      </w:r>
      <w:proofErr w:type="spellStart"/>
      <w:r w:rsidRPr="00460762">
        <w:rPr>
          <w:u w:val="single"/>
        </w:rPr>
        <w:t>Technium</w:t>
      </w:r>
      <w:proofErr w:type="spellEnd"/>
    </w:p>
    <w:p w:rsidR="00460762" w:rsidRPr="00EC2275" w:rsidRDefault="00460762" w:rsidP="00460762">
      <w:pPr>
        <w:pStyle w:val="ListParagraph"/>
        <w:numPr>
          <w:ilvl w:val="0"/>
          <w:numId w:val="8"/>
        </w:numPr>
        <w:ind w:left="360"/>
      </w:pPr>
      <w:r>
        <w:t>Framework design and application development of rule-based policy quote component using MSMQ.</w:t>
      </w:r>
    </w:p>
    <w:p w:rsidR="00EC2275" w:rsidRPr="008D2409" w:rsidRDefault="00EC2275" w:rsidP="008D2409"/>
    <w:p w:rsidR="008D2409" w:rsidRPr="008D2409" w:rsidRDefault="008D2409" w:rsidP="008D2409"/>
    <w:p w:rsidR="008D2409" w:rsidRDefault="008D2409" w:rsidP="00DD2360"/>
    <w:sectPr w:rsidR="008D2409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4F60AD6"/>
    <w:multiLevelType w:val="hybridMultilevel"/>
    <w:tmpl w:val="41D8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7695B"/>
    <w:multiLevelType w:val="hybridMultilevel"/>
    <w:tmpl w:val="194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F7E5C"/>
    <w:multiLevelType w:val="hybridMultilevel"/>
    <w:tmpl w:val="B382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6A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6DA4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E87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1E7CF1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06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206F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0762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0777"/>
    <w:rsid w:val="00781E16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2409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A5513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8FB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275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409"/>
  </w:style>
  <w:style w:type="paragraph" w:styleId="Heading1">
    <w:name w:val="heading 1"/>
    <w:basedOn w:val="Normal"/>
    <w:next w:val="Normal"/>
    <w:link w:val="Heading1Char"/>
    <w:uiPriority w:val="9"/>
    <w:qFormat/>
    <w:rsid w:val="008D240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0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0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0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0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0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0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0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0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24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0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0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0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0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0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40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40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0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0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409"/>
    <w:rPr>
      <w:b/>
      <w:bCs/>
    </w:rPr>
  </w:style>
  <w:style w:type="character" w:styleId="Emphasis">
    <w:name w:val="Emphasis"/>
    <w:uiPriority w:val="20"/>
    <w:qFormat/>
    <w:rsid w:val="008D24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4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40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4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0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09"/>
    <w:rPr>
      <w:b/>
      <w:bCs/>
      <w:i/>
      <w:iCs/>
    </w:rPr>
  </w:style>
  <w:style w:type="character" w:styleId="SubtleEmphasis">
    <w:name w:val="Subtle Emphasis"/>
    <w:uiPriority w:val="19"/>
    <w:qFormat/>
    <w:rsid w:val="008D2409"/>
    <w:rPr>
      <w:i/>
      <w:iCs/>
    </w:rPr>
  </w:style>
  <w:style w:type="character" w:styleId="IntenseEmphasis">
    <w:name w:val="Intense Emphasis"/>
    <w:uiPriority w:val="21"/>
    <w:qFormat/>
    <w:rsid w:val="008D2409"/>
    <w:rPr>
      <w:b/>
      <w:bCs/>
    </w:rPr>
  </w:style>
  <w:style w:type="character" w:styleId="SubtleReference">
    <w:name w:val="Subtle Reference"/>
    <w:uiPriority w:val="31"/>
    <w:qFormat/>
    <w:rsid w:val="008D2409"/>
    <w:rPr>
      <w:smallCaps/>
    </w:rPr>
  </w:style>
  <w:style w:type="character" w:styleId="IntenseReference">
    <w:name w:val="Intense Reference"/>
    <w:uiPriority w:val="32"/>
    <w:qFormat/>
    <w:rsid w:val="008D2409"/>
    <w:rPr>
      <w:smallCaps/>
      <w:spacing w:val="5"/>
      <w:u w:val="single"/>
    </w:rPr>
  </w:style>
  <w:style w:type="character" w:styleId="BookTitle">
    <w:name w:val="Book Title"/>
    <w:uiPriority w:val="33"/>
    <w:qFormat/>
    <w:rsid w:val="008D240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0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409"/>
  </w:style>
  <w:style w:type="paragraph" w:styleId="Heading1">
    <w:name w:val="heading 1"/>
    <w:basedOn w:val="Normal"/>
    <w:next w:val="Normal"/>
    <w:link w:val="Heading1Char"/>
    <w:uiPriority w:val="9"/>
    <w:qFormat/>
    <w:rsid w:val="008D240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0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0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0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0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0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0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0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0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24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0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0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0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0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0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40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40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0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0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409"/>
    <w:rPr>
      <w:b/>
      <w:bCs/>
    </w:rPr>
  </w:style>
  <w:style w:type="character" w:styleId="Emphasis">
    <w:name w:val="Emphasis"/>
    <w:uiPriority w:val="20"/>
    <w:qFormat/>
    <w:rsid w:val="008D24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4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40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4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0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09"/>
    <w:rPr>
      <w:b/>
      <w:bCs/>
      <w:i/>
      <w:iCs/>
    </w:rPr>
  </w:style>
  <w:style w:type="character" w:styleId="SubtleEmphasis">
    <w:name w:val="Subtle Emphasis"/>
    <w:uiPriority w:val="19"/>
    <w:qFormat/>
    <w:rsid w:val="008D2409"/>
    <w:rPr>
      <w:i/>
      <w:iCs/>
    </w:rPr>
  </w:style>
  <w:style w:type="character" w:styleId="IntenseEmphasis">
    <w:name w:val="Intense Emphasis"/>
    <w:uiPriority w:val="21"/>
    <w:qFormat/>
    <w:rsid w:val="008D2409"/>
    <w:rPr>
      <w:b/>
      <w:bCs/>
    </w:rPr>
  </w:style>
  <w:style w:type="character" w:styleId="SubtleReference">
    <w:name w:val="Subtle Reference"/>
    <w:uiPriority w:val="31"/>
    <w:qFormat/>
    <w:rsid w:val="008D2409"/>
    <w:rPr>
      <w:smallCaps/>
    </w:rPr>
  </w:style>
  <w:style w:type="character" w:styleId="IntenseReference">
    <w:name w:val="Intense Reference"/>
    <w:uiPriority w:val="32"/>
    <w:qFormat/>
    <w:rsid w:val="008D2409"/>
    <w:rPr>
      <w:smallCaps/>
      <w:spacing w:val="5"/>
      <w:u w:val="single"/>
    </w:rPr>
  </w:style>
  <w:style w:type="character" w:styleId="BookTitle">
    <w:name w:val="Book Title"/>
    <w:uiPriority w:val="33"/>
    <w:qFormat/>
    <w:rsid w:val="008D240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0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mohrbacher\AppData\Roaming\Microsoft\Templates\InventoryCount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8D6E36-962C-46E3-8F05-DDF3747B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InventoryCountSheet.dotx</Template>
  <TotalTime>38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creator>Black River Systems, Inc.</dc:creator>
  <cp:lastModifiedBy>Black River Systems, Inc.</cp:lastModifiedBy>
  <cp:revision>4</cp:revision>
  <cp:lastPrinted>2017-09-12T20:15:00Z</cp:lastPrinted>
  <dcterms:created xsi:type="dcterms:W3CDTF">2017-09-12T20:10:00Z</dcterms:created>
  <dcterms:modified xsi:type="dcterms:W3CDTF">2017-09-12T20:48:00Z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