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64" w:lineRule="auto"/>
        <w:jc w:val="left"/>
      </w:pPr>
      <w:r>
        <w:rPr>
          <w:rFonts w:ascii="Calibri" w:hAnsi="Calibri"/>
          <w:b/>
          <w:i w:val="0"/>
          <w:color w:val="17365D"/>
          <w:sz w:val="46"/>
        </w:rPr>
        <w:t>INFORME DE AVANCE DEL PROYECTO</w:t>
      </w:r>
    </w:p>
    <w:p>
      <w:pPr>
        <w:keepNext/>
        <w:spacing w:before="0" w:after="280" w:line="264" w:lineRule="auto"/>
        <w:jc w:val="left"/>
      </w:pPr>
      <w:r>
        <w:rPr>
          <w:rFonts w:ascii="Calibri" w:hAnsi="Calibri"/>
          <w:b w:val="0"/>
          <w:i w:val="0"/>
          <w:color w:val="6B7280"/>
          <w:sz w:val="28"/>
        </w:rPr>
        <w:t>Módulo de facturación, cobranza y pagos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F2937"/>
          <w:sz w:val="21"/>
        </w:rPr>
        <w:t xml:space="preserve">Proyecto: </w:t>
      </w:r>
      <w:r>
        <w:rPr>
          <w:rFonts w:ascii="Calibri" w:hAnsi="Calibri"/>
          <w:b w:val="0"/>
          <w:i w:val="0"/>
          <w:color w:val="1F2937"/>
          <w:sz w:val="21"/>
        </w:rPr>
        <w:t>Côté France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F2937"/>
          <w:sz w:val="21"/>
        </w:rPr>
        <w:t xml:space="preserve">Fecha de corte: </w:t>
      </w:r>
      <w:r>
        <w:rPr>
          <w:rFonts w:ascii="Calibri" w:hAnsi="Calibri"/>
          <w:b w:val="0"/>
          <w:i w:val="0"/>
          <w:color w:val="1F2937"/>
          <w:sz w:val="21"/>
        </w:rPr>
        <w:t>23 de agosto de 2026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F2937"/>
          <w:sz w:val="21"/>
        </w:rPr>
        <w:t xml:space="preserve">Rama revisada: </w:t>
      </w:r>
      <w:r>
        <w:rPr>
          <w:rFonts w:ascii="Calibri" w:hAnsi="Calibri"/>
          <w:b w:val="0"/>
          <w:i w:val="0"/>
          <w:color w:val="1F2937"/>
          <w:sz w:val="21"/>
        </w:rPr>
        <w:t>fracturacion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F2937"/>
          <w:sz w:val="21"/>
        </w:rPr>
        <w:t xml:space="preserve">Commit revisado: </w:t>
      </w:r>
      <w:r>
        <w:rPr>
          <w:rFonts w:ascii="Calibri" w:hAnsi="Calibri"/>
          <w:b w:val="0"/>
          <w:i w:val="0"/>
          <w:color w:val="1F2937"/>
          <w:sz w:val="21"/>
        </w:rPr>
        <w:t>c4e2317 - Merge PR #219, 19 de agosto de 2026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F2937"/>
          <w:sz w:val="21"/>
        </w:rPr>
        <w:t xml:space="preserve">Fuentes: </w:t>
      </w:r>
      <w:r>
        <w:rPr>
          <w:rFonts w:ascii="Calibri" w:hAnsi="Calibri"/>
          <w:b w:val="0"/>
          <w:i w:val="0"/>
          <w:color w:val="1F2937"/>
          <w:sz w:val="21"/>
        </w:rPr>
        <w:t>Propuesta funcional, backlog, respaldo SQL del 14 de agosto de 2026 y código fuente entregado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17365D"/>
                <w:sz w:val="22"/>
              </w:rPr>
              <w:t>Conclusión ejecutiva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Las épicas 1, 2 y 3 están implementadas en el código: baseline técnico, condiciones financieras de las inscripciones y catálogo de conceptos de cobro. Esto equivale a 26 de 167 tareas del roadmap (15,6 %). Frente al primer MVP, representa 26 de 121 tareas (21,5 %), pero solo cerca del 15 % del esfuerzo estimado porque las fases pendientes concentran la mayor complejidad. El sistema todavía no puede operar cobranza: no existen cargos, mensualidades generadas, métodos de pago, pagos ni aplicaciones de pago.</w:t>
            </w:r>
          </w:p>
        </w:tc>
      </w:tr>
    </w:tbl>
    <w:p>
      <w:pPr>
        <w:pStyle w:val="Heading1"/>
        <w:keepNext/>
        <w:pageBreakBefore w:val="0"/>
      </w:pPr>
      <w:r>
        <w:t>Indicadores de avance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080"/>
        <w:gridCol w:w="1500"/>
        <w:gridCol w:w="49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Ámbito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Avance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Lectura correcta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Roadmap completo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26 / 167 (15,6 %)</w:t>
            </w:r>
          </w:p>
        </w:tc>
        <w:tc>
          <w:tcPr>
            <w:tcW w:type="dxa" w:w="15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En desarrollo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Tres épicas implementadas; diecisiete pendientes o transversales.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Primer MVP (épicas 1-16)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26 / 121 (21,5 %)</w:t>
            </w:r>
          </w:p>
        </w:tc>
        <w:tc>
          <w:tcPr>
            <w:tcW w:type="dxa" w:w="15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En desarrollo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Medición por cantidad de tareas; no pondera su tamaño.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MVP ponderado por esfuerzo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aprox. 15 %</w:t>
            </w:r>
          </w:p>
        </w:tc>
        <w:tc>
          <w:tcPr>
            <w:tcW w:type="dxa" w:w="15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En desarrollo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55-77 h implementadas frente a 415-485 h estimadas en el backlog.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Épicas 1-3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26 / 26 (100 %)</w:t>
            </w:r>
          </w:p>
        </w:tc>
        <w:tc>
          <w:tcPr>
            <w:tcW w:type="dxa" w:w="15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6E43"/>
                <w:sz w:val="18"/>
              </w:rPr>
              <w:t>Cerrado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Cierre en código; falta comprobar despliegue de migraciones en la base operativa.</w:t>
            </w:r>
          </w:p>
        </w:tc>
      </w:tr>
      <w:tr>
        <w:trPr/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Fase de inscripción y planificación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19 / 29 (65,5 %)</w:t>
            </w:r>
          </w:p>
        </w:tc>
        <w:tc>
          <w:tcPr>
            <w:tcW w:type="dxa" w:w="15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Parcial</w:t>
            </w:r>
          </w:p>
        </w:tc>
        <w:tc>
          <w:tcPr>
            <w:tcW w:type="dxa" w:w="4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Inscripciones y conceptos listos; falta toda la generación de cargos (épica 4).</w:t>
            </w:r>
          </w:p>
        </w:tc>
      </w:tr>
    </w:tbl>
    <w:p>
      <w:pPr>
        <w:pStyle w:val="Heading1"/>
        <w:keepNext/>
        <w:pageBreakBefore/>
      </w:pPr>
      <w:r>
        <w:t>Alcance y criterio de medición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avance se midió contra las 20 épicas y 167 tareas del Backlog de desarrollo propuesto. Para evitar una lectura optimista, el informe presenta tres métricas: porcentaje por tareas del roadmap completo, porcentaje por tareas del MVP y porcentaje aproximado ponderado por las horas estimadas del MVP.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Se consideró implementada una tarea cuando existe evidencia directa en migraciones, modelos, componentes Livewire, rutas, menú, comandos, pruebas o historial Git. Las decisiones fiscales no se contabilizaron como desarrollo terminado porque requieren validación del contador y todavía no existe integración CFDI.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/>
          <w:i w:val="0"/>
          <w:color w:val="8A5A00"/>
          <w:sz w:val="22"/>
        </w:rPr>
        <w:t>Importante: 'implementado en código' no significa 'desplegado en la base operativa'. El respaldo SQL proporcionado permite verificar el estado anterior a las nuevas migraciones, no su ejecución posterior.</w:t>
      </w:r>
    </w:p>
    <w:p>
      <w:pPr>
        <w:pStyle w:val="Heading1"/>
        <w:keepNext/>
        <w:pageBreakBefore w:val="0"/>
      </w:pPr>
      <w:r>
        <w:t>Lectura ejecutiva del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C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1F6E43"/>
                <w:sz w:val="22"/>
              </w:rPr>
              <w:t>Qué está terminado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La estructura de datos necesaria para definir cuánto paga cada inscripción y quién es su responsable, junto con el catálogo configurable de conceptos de cobro. También existe un procedimiento seguro para preparar los registros históricos.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8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Qué todavía no está disponible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La operación de caja: generación de adeudos, calendario mensual, registro y aplicación de pagos, cancelaciones, recibos, estado de cuenta, reportes y roles financieros.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"/>
        </w:rPr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La prioridad debe seguir la dependencia del modelo: primero cargos y mensualidades; después métodos de pago; luego pagos y aplicaciones. Alterar ese orden obligaría a reconstruir saldos y estados de cuenta posteriormente.</w:t>
      </w:r>
    </w:p>
    <w:p>
      <w:pPr>
        <w:pStyle w:val="Heading1"/>
        <w:keepNext/>
        <w:pageBreakBefore/>
      </w:pPr>
      <w:r>
        <w:t>Avance por épica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900"/>
        <w:gridCol w:w="1500"/>
        <w:gridCol w:w="60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Épica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Tareas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Situación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Evidencia / pendiente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7</w:t>
            </w:r>
          </w:p>
        </w:tc>
        <w:tc>
          <w:tcPr>
            <w:tcW w:type="dxa" w:w="15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6E43"/>
                <w:sz w:val="16"/>
              </w:rPr>
              <w:t>Implementada*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Rama, baseline, corrección del rollback, pruebas y documentación. *La copia anonimizada y la ejecución post-cambio en la BD deben reconfirmarse.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14</w:t>
            </w:r>
          </w:p>
        </w:tc>
        <w:tc>
          <w:tcPr>
            <w:tcW w:type="dxa" w:w="15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6E43"/>
                <w:sz w:val="16"/>
              </w:rPr>
              <w:t>Implementada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Responsables de pago, 14 campos financieros, relaciones, formularios, filtros, auditoría y comando CSV para históricos.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1500"/>
            <w:shd w:fill="E7F4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6E43"/>
                <w:sz w:val="16"/>
              </w:rPr>
              <w:t>Implementada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Migración/modelo, 9 conceptos iniciales, campos SAT preparados, CRUD Livewire, rutas y menú.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Siguiente bloque: cargos, estados, servicio generador, inscripción automática, mensualidades e idempotencia.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existe catálogo de métodos de pago ni configuración SAT/operativa.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13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existe tabla/modelo Pago ni formulario RegistrarPago.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existe PagoAplicacion ni servicio transaccional de aplicación.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Cancelaciones y reversión de saldos todavía no disponibles.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existe ArchivoPago ni flujo privado de comprobantes bancarios.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existe aún el módulo principal de Cobranza, dashboard ni KPI financieros.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7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La inscripción muestra configuración financiera, pero no un estado de cuenta basado en cargos y pagos.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existe ComprobantePago, folio REC, plantilla ni PDF.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La infraestructura general de notificaciones existe; faltan recibos, reenvíos, jobs y worker.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Falta auditoría financiera central para pagos, cancelaciones, recibos y descargas.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Las pantallas nuevas son solo para administrador; faltan Caja, Contabilidad y Policies financieras.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existen reportes, cierre de caja ni exportación financiera.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15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8A5A00"/>
                <w:sz w:val="16"/>
              </w:rPr>
              <w:t>Preparación parcial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Los conceptos ya tienen campos SAT, pero no existen perfiles fiscales ni su CRUD.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15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CFDI 4.0 depende de RVOE, IVA, PUE/PPD, PAC y criterios del contador.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10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No iniciada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Pagos en línea, webhooks, idempotencia y conciliación quedan para etapa posterior.</w:t>
            </w:r>
          </w:p>
        </w:tc>
      </w:tr>
      <w:tr>
        <w:trPr/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6"/>
              </w:rPr>
              <w:t>15</w:t>
            </w:r>
          </w:p>
        </w:tc>
        <w:tc>
          <w:tcPr>
            <w:tcW w:type="dxa" w:w="15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8A5A00"/>
                <w:sz w:val="16"/>
              </w:rPr>
              <w:t>Transversal parcial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Hay 80 métodos de prueba relevantes para épicas 1-3; faltan pruebas funcionales de pagos, concurrencia, recibos y permisos financieros.</w:t>
            </w:r>
          </w:p>
        </w:tc>
      </w:tr>
    </w:tbl>
    <w:p>
      <w:pPr>
        <w:keepNext w:val="0"/>
        <w:spacing w:before="80" w:after="120" w:line="264" w:lineRule="auto"/>
        <w:jc w:val="left"/>
      </w:pPr>
      <w:r>
        <w:rPr>
          <w:rFonts w:ascii="Calibri" w:hAnsi="Calibri"/>
          <w:b w:val="0"/>
          <w:i/>
          <w:color w:val="6B7280"/>
          <w:sz w:val="18"/>
        </w:rPr>
        <w:t>Fuente de conteo: Backlog de desarrollo propuesto. El total de tareas es 167; el primer MVP comprende 121 tareas de las épicas 1 a 16.</w:t>
      </w:r>
    </w:p>
    <w:p>
      <w:pPr>
        <w:pStyle w:val="Heading1"/>
        <w:keepNext/>
        <w:pageBreakBefore/>
      </w:pPr>
      <w:r>
        <w:t>Avances concretos logrados</w:t>
      </w:r>
    </w:p>
    <w:p>
      <w:pPr>
        <w:pStyle w:val="Heading2"/>
        <w:keepNext/>
        <w:pageBreakBefore w:val="0"/>
      </w:pPr>
      <w:r>
        <w:t>Baseline técnico estabilizado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La migración original de inscripciones ahora revierte la tabla correcta. La rama fracturacion se encuentra limpia en el paquete entregado y el historial registra 37 commits desde el 15 de agosto, con 43 archivos modificados, 3.328 líneas agregadas y 189 eliminadas en el tramo analizado.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También se reforzó el control de acceso del módulo de inscripciones, la prevención de duplicados de prospectos y la cobertura de migración y funcionamiento existente.</w:t>
      </w:r>
    </w:p>
    <w:p>
      <w:pPr>
        <w:pStyle w:val="Heading2"/>
        <w:keepNext/>
        <w:pageBreakBefore w:val="0"/>
      </w:pPr>
      <w:r>
        <w:t>Inscripciones con condiciones financieras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Se crearon responsables de pago y se incorporaron a inscripciones: estatus, fechas, moneda MXN, inscripción, mensualidad, vencimiento, número de mensualidades, descuento, beca, observaciones, responsable y trazabilidad de usuario. Los importes utilizan DECIMAL y el modelo aplica conversiones y relaciones Eloquent.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Los formularios de creación y edición capturan estos datos con validaciones: límites monetarios, vencimiento de 1 a 31, hasta 120 mensualidades, descuento más beca no superior a 100 %, responsable activo y moneda MXN. La actualización se ejecuta dentro de transacciones.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Para los 368 registros históricos del respaldo se creó el comando inscripciones:configurar-finanzas, con exportación CSV, simulación, aplicación atómica, control de concurrencia, idempotencia y rollback ante errores.</w:t>
      </w:r>
    </w:p>
    <w:p>
      <w:pPr>
        <w:pStyle w:val="Heading2"/>
        <w:keepNext/>
        <w:pageBreakBefore w:val="0"/>
      </w:pPr>
      <w:r>
        <w:t>Catálogo de conceptos de cobro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Se añadió conceptos_cobro con clave interna única, nombre, descripción, estado, orden y preparación fiscal: clave de producto/servicio SAT, unidad SAT, objeto de impuesto y tasa de IVA. El seeder incorpora nueve conceptos iniciales sin destruir configuraciones manuales y puede ejecutarse repetidamente.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CRUD Livewire permite crear, editar, buscar, ordenar, paginar, activar y desactivar conceptos. La clave interna queda protegida al editar; el acceso y los enlaces de menú están limitados mediante autorización.</w:t>
      </w:r>
    </w:p>
    <w:p>
      <w:pPr>
        <w:pStyle w:val="Heading2"/>
        <w:keepNext/>
        <w:pageBreakBefore w:val="0"/>
      </w:pPr>
      <w:r>
        <w:t>Cobertura de pruebas incorporada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repositorio contiene 80 métodos de prueba relacionados con estas tres épicas: inscripciones, migraciones financieras, responsables de pago, configuración histórica, modelo/seeder/migración de conceptos y CRUD. Incluyen validaciones, permisos, límites, idempotencia, conflictos concurrentes y rollback.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Limitación de esta revisión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El entorno utilizado para elaborar el informe no dispone del ejecutable PHP; por ello no se volvió a ejecutar la suite. La valoración se apoya en el código, los archivos de prueba y los resultados de pruebas que el equipo reportó previamente.</w:t>
            </w:r>
          </w:p>
        </w:tc>
      </w:tr>
    </w:tbl>
    <w:p>
      <w:pPr>
        <w:pStyle w:val="Heading1"/>
        <w:keepNext/>
        <w:pageBreakBefore/>
      </w:pPr>
      <w:r>
        <w:t>Dificultades, dependencias y riesgos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2100"/>
        <w:gridCol w:w="45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Dificultad / riesgo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Impacto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 recomendada</w:t>
            </w:r>
          </w:p>
        </w:tc>
      </w:tr>
      <w:tr>
        <w:trPr/>
        <w:tc>
          <w:tcPr>
            <w:tcW w:type="dxa" w:w="2700"/>
            <w:shd w:fill="FCE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Base de datos anterior al código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El dump del 14/08/2026 contiene 49 migraciones aplicadas y una tabla inscripciones sin campos financieros.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Crear respaldo actual, ejecutar migrate:status y aplicar/verificar las tres migraciones nuevas en un ambiente controlado.</w:t>
            </w:r>
          </w:p>
        </w:tc>
      </w:tr>
      <w:tr>
        <w:trPr/>
        <w:tc>
          <w:tcPr>
            <w:tcW w:type="dxa" w:w="2700"/>
            <w:shd w:fill="FCE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Datos históricos sin configuración comprobada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Los 368 registros necesitan responsable, montos, fechas y reglas de mensualidad antes de generar cargos.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Exportar CSV, completar datos, ejecutar dry-run, revisar conflictos y aplicar con usuario administrador.</w:t>
            </w:r>
          </w:p>
        </w:tc>
      </w:tr>
      <w:tr>
        <w:trPr/>
        <w:tc>
          <w:tcPr>
            <w:tcW w:type="dxa" w:w="2700"/>
            <w:shd w:fill="FCE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No existe el núcleo contable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Sin cargos y mensualidades no hay saldo verificable; por tanto tampoco pueden existir pagos, recibos o estados de cuenta reales.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Desarrollar la épica 4 antes del catálogo de métodos y del registro de pagos.</w:t>
            </w:r>
          </w:p>
        </w:tc>
      </w:tr>
      <w:tr>
        <w:trPr/>
        <w:tc>
          <w:tcPr>
            <w:tcW w:type="dxa" w:w="2700"/>
            <w:shd w:fill="FCE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Decisiones fiscales pendientes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RVOE, IVA, PUE/PPD, PAC, facturación individual/global e IEDU pueden cambiar datos y flujos de CFDI.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Cerrar un documento de decisiones con administración y contador; mantener CFDI fuera del MVP hasta entonces.</w:t>
            </w:r>
          </w:p>
        </w:tc>
      </w:tr>
      <w:tr>
        <w:trPr/>
        <w:tc>
          <w:tcPr>
            <w:tcW w:type="dxa" w:w="27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Roles financieros incompletos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Las nuevas pantallas están restringidas a administrador; no existen todavía Caja ni Contabilidad.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Definir permisos y Policies antes de habilitar operaciones monetarias a usuarios finales.</w:t>
            </w:r>
          </w:p>
        </w:tc>
      </w:tr>
      <w:tr>
        <w:trPr/>
        <w:tc>
          <w:tcPr>
            <w:tcW w:type="dxa" w:w="27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Zona horaria y colas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La línea base documentó UTC por defecto y QUEUE_CONNECTION=sync; ambos afectan fecha de pago y entrega de recibos.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Definir zona horaria operativa y preparar jobs/worker antes de pagos y correo.</w:t>
            </w:r>
          </w:p>
        </w:tc>
      </w:tr>
      <w:tr>
        <w:trPr/>
        <w:tc>
          <w:tcPr>
            <w:tcW w:type="dxa" w:w="27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Privacidad y archivos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Los comprobantes contendrán información financiera y posiblemente fiscal.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Usar disco privado, descargas autorizadas, política de conservación y aviso de privacidad antes de adjuntos.</w:t>
            </w:r>
          </w:p>
        </w:tc>
      </w:tr>
      <w:tr>
        <w:trPr/>
        <w:tc>
          <w:tcPr>
            <w:tcW w:type="dxa" w:w="27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Validación final fuera de este entorno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 fue posible ejecutar PHP en esta auditoría.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Repetir suite completa, migraciones up/down y pruebas MySQL en el ambiente del proyecto.</w:t>
            </w:r>
          </w:p>
        </w:tc>
      </w:tr>
    </w:tbl>
    <w:p>
      <w:pPr>
        <w:pStyle w:val="Heading1"/>
        <w:keepNext/>
        <w:pageBreakBefore/>
      </w:pPr>
      <w:r>
        <w:t>Diferencia entre avance técnico y preparación operativa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El trabajo completado es una base sólida y necesaria, pero todavía no produce el resultado visible del MVP: cobrar. La aplicación puede almacenar condiciones financieras y administrar conceptos, pero aún no convierte esas condiciones en obligaciones mensuales ni registra dinero recibido.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8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Estado actual real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La arquitectura ya sabe cuánto debería pagar una inscripción, pero todavía no crea qué debe pagar (cargos) ni registra qué pagó (pagos y aplicaciones). Por ello no conviene presentar el módulo como disponible para caja o producción.</w:t>
            </w:r>
          </w:p>
        </w:tc>
      </w:tr>
    </w:tbl>
    <w:p>
      <w:pPr>
        <w:pStyle w:val="Heading1"/>
        <w:keepNext/>
        <w:pageBreakBefore w:val="0"/>
      </w:pPr>
      <w:r>
        <w:t>Trabajo pendiente para llegar al primer MVP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Quedan 95 tareas de las épicas 4 a 16. Las áreas de mayor esfuerzo son: cargos y mensualidades; registro y aplicación de pagos; cancelaciones; recibos PDF; seguridad y roles; estado de cuenta; reportes y cierre de caja.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Según el backlog, el MVP completo representa 415-485 horas. Las tres primeras épicas acumulan 55-77 horas estimadas; por eso el avance ponderado se sitúa alrededor del 15 %, aunque el conteo simple de tareas del MVP marque 21,5 %.</w:t>
      </w:r>
    </w:p>
    <w:p>
      <w:pPr>
        <w:pStyle w:val="Heading1"/>
        <w:keepNext/>
        <w:pageBreakBefore w:val="0"/>
      </w:pPr>
      <w:r>
        <w:t>Organización sugerida del trabajo restante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800"/>
        <w:gridCol w:w="4160"/>
        <w:gridCol w:w="168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Orden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 esperado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Bloquea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Núcleo financiero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Épicas 4 a 8: cargos, métodos, pagos, aplicaciones y cancelaciones.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Cobranza operativa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B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Operación segura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Épicas 9, 14 y 15: archivos, auditoría, roles y permisos.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Producción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C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Entrega administrativa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Épicas 10 a 13 y 16: dashboard, estado, recibos, correo y reportes.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MVP completo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Etapa fiscal y digital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Épicas 17 a 19: perfiles, CFDI y pagos en línea.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Segunda etapa</w:t>
            </w:r>
          </w:p>
        </w:tc>
      </w:tr>
    </w:tbl>
    <w:p>
      <w:pPr>
        <w:pStyle w:val="Heading1"/>
        <w:keepNext/>
        <w:pageBreakBefore/>
      </w:pPr>
      <w:r>
        <w:t>Próximos pasos recomendados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800"/>
        <w:gridCol w:w="4160"/>
        <w:gridCol w:w="168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Orden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 esperado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Bloquea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Alinear la base de datos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Respaldo post-cambio, migrate:status con 52 migraciones y prueba de reversión controlada.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Todo lo siguiente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Aplicar catálogos y configuración histórica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Nueve conceptos sembrados y 368 inscripciones revisadas mediante exportación, dry-run y apply.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Generación de cargos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Cerrar la épica 4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Tabla/modelo Cargo, estados, GeneradorCargosService, inscripción y mensualidades idempotentes.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Pagos y saldos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Construir métodos de pago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Catálogo operativo separado de la forma SAT y campos dinámicos definidos.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RegistrarPago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Implementar pagos y aplicaciones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Pagos parciales/múltiples, transacciones, lockForUpdate, anticipos y saldos consistentes.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Recibos y estado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Completar controles operativos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Cancelación, auditoría, archivos privados, roles y pruebas concurrentes.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Salida a producción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Entregar experiencia administrativa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Cobranza, recibos, correo, estado de cuenta, reportes y cierre de caja.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MVP</w:t>
            </w:r>
          </w:p>
        </w:tc>
      </w:tr>
      <w:tr>
        <w:trPr/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Abordar CFDI después del acuerdo fiscal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Perfiles fiscales, PAC, CFDI 4.0, PUE/PPD y complemento solo con criterios aprobados.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Segunda etapa</w:t>
            </w:r>
          </w:p>
        </w:tc>
      </w:tr>
    </w:tbl>
    <w:p>
      <w:pPr>
        <w:pStyle w:val="Heading1"/>
        <w:keepNext/>
        <w:pageBreakBefore/>
      </w:pPr>
      <w:r>
        <w:t>Recomendación de decisión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C"/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1F6E43"/>
                <w:sz w:val="22"/>
              </w:rPr>
              <w:t>Siguiente bloque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Continuar con la épica 4 - Generación de cargos y mensualidades. Antes de programarla, validar que las tres migraciones nuevas estén aplicadas en una copia actual de MySQL y que las inscripciones históricas tengan información financiera suficiente. No iniciar todavía RegistrarPago.</w:t>
            </w:r>
          </w:p>
        </w:tc>
      </w:tr>
    </w:tbl>
    <w:p>
      <w:pPr>
        <w:pStyle w:val="Heading1"/>
        <w:keepNext/>
        <w:pageBreakBefore w:val="0"/>
      </w:pPr>
      <w:r>
        <w:t>Pronóstico con el ritmo del backlog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La estimación original de 5 a 8 semanas para el MVP sigue siendo razonable como orden de magnitud, pero el avance actual corresponde principalmente a la preparación de datos. Las fases de mayor riesgo y volumen todavía no han comenzado. La fecha final dependerá especialmente de la depuración de los 368 registros, las reglas de mensualidad, las pruebas concurrentes y los permisos operativos.</w:t>
      </w:r>
    </w:p>
    <w:p>
      <w:pPr>
        <w:pStyle w:val="Heading1"/>
        <w:keepNext/>
        <w:pageBreakBefore w:val="0"/>
      </w:pPr>
      <w:r>
        <w:t>Fuentes y evidencia revisada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Uso en el informe</w:t>
            </w:r>
          </w:p>
        </w:tc>
      </w:tr>
      <w:tr>
        <w:trPr/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Propuesta Facturacion - Cote France.pdf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Alcance funcional, reglas mexicanas, fases, riesgos y estimación general.</w:t>
            </w:r>
          </w:p>
        </w:tc>
      </w:tr>
      <w:tr>
        <w:trPr/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Backlog de desarrollo propuesto.pdf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20 épicas, 167 tareas y estimaciones del MVP.</w:t>
            </w:r>
          </w:p>
        </w:tc>
      </w:tr>
      <w:tr>
        <w:trPr/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u557368528_Spdg (6)(1).sql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Respaldo generado el 14/08/2026: 38 tablas, 49 migraciones aplicadas y 368 inscripciones.</w:t>
            </w:r>
          </w:p>
        </w:tc>
      </w:tr>
      <w:tr>
        <w:trPr/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cote-france-9(20260823-170209).zip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Rama fracturacion, commit c4e2317, migraciones, modelos, Livewire, rutas, menú, comandos y pruebas.</w:t>
            </w:r>
          </w:p>
        </w:tc>
      </w:tr>
      <w:tr>
        <w:trPr/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Historial Git del paquete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37 commits desde el 15/08/2026; 43 archivos cambiados en el tramo de facturación analizado.</w:t>
            </w:r>
          </w:p>
        </w:tc>
      </w:tr>
    </w:tbl>
    <w:p>
      <w:pPr>
        <w:keepNext w:val="0"/>
        <w:spacing w:before="160" w:after="120" w:line="264" w:lineRule="auto"/>
        <w:jc w:val="left"/>
      </w:pPr>
      <w:r>
        <w:rPr>
          <w:rFonts w:ascii="Calibri" w:hAnsi="Calibri"/>
          <w:b w:val="0"/>
          <w:i/>
          <w:color w:val="6B7280"/>
          <w:sz w:val="18"/>
        </w:rPr>
        <w:t>Nota metodológica: los porcentajes describen el estado del alcance documentado al 23 de agosto de 2026. No sustituyen una validación de despliegue, pruebas de aceptación con usuarios ni aprobación fiscal.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B7280"/>
        <w:sz w:val="17"/>
      </w:rPr>
      <w:t>CÔTÉ FRANCE  |  INFORME DE AVANCE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- Côté France</dc:title>
  <dc:subject>Avances, dificultades y porcentaje de progreso del módulo de facturación y pagos</dc:subject>
  <dc:creator>OpenAI - análisis técnico</dc:creator>
  <cp:keywords>Côté France, facturación, cobranza, pagos, avance, backlog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