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40"/>
        <w:jc w:val="left"/>
      </w:pPr>
      <w:r>
        <w:rPr>
          <w:rFonts w:ascii="Aptos Display" w:hAnsi="Aptos Display"/>
          <w:b/>
          <w:color w:val="595959"/>
          <w:sz w:val="24"/>
        </w:rPr>
        <w:t>COTE FRANCE</w:t>
      </w:r>
    </w:p>
    <w:p>
      <w:pPr>
        <w:pStyle w:val="Title"/>
        <w:spacing w:after="200"/>
      </w:pPr>
      <w:r>
        <w:t>Informe de avance del proyecto de facturación</w:t>
      </w:r>
    </w:p>
    <w:p>
      <w:pPr>
        <w:spacing w:after="880"/>
      </w:pPr>
      <w:r>
        <w:rPr>
          <w:rFonts w:ascii="Aptos" w:hAnsi="Aptos"/>
          <w:color w:val="595959"/>
          <w:sz w:val="28"/>
        </w:rPr>
        <w:t>Actualización comparativa desde el informe base del 23 de agosto de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Fecha de corte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10 de septiembre de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Rama analizada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fracturacion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Commit analizado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dc86c36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Línea base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c4e2317 - 23 de agosto de 2026</w:t>
            </w:r>
          </w:p>
        </w:tc>
      </w:tr>
    </w:tbl>
    <w:p>
      <w:pPr>
        <w:spacing w:before="760" w:after="0"/>
      </w:pPr>
      <w:r>
        <w:rPr>
          <w:rFonts w:ascii="Aptos" w:hAnsi="Aptos"/>
          <w:b/>
          <w:color w:val="000000"/>
          <w:sz w:val="22"/>
        </w:rPr>
        <w:t>Conclusión principal</w:t>
      </w:r>
    </w:p>
    <w:p>
      <w:pPr>
        <w:spacing w:after="0" w:line="276" w:lineRule="auto"/>
      </w:pPr>
      <w:r>
        <w:rPr>
          <w:rFonts w:ascii="Aptos" w:hAnsi="Aptos"/>
          <w:color w:val="000000"/>
          <w:sz w:val="22"/>
        </w:rPr>
        <w:t>El proyecto avanzó de 26 a 49 tareas terminadas. Las épicas 4 y 5 quedaron completas y la épica 6 alcanzó una base sólida de captura y validación. El flujo aún no está listo para producción porque preparar un pago no lo persiste ni lo aplica contra los cargos.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spacing w:after="140" w:line="269" w:lineRule="auto"/>
      </w:pPr>
      <w:r>
        <w:t>Entre el 23 de agosto y el 10 de septiembre de 2026 se completaron 23 tareas adicionales del backlog. El avance estricto del roadmap pasó de 15,6 % a 29,3 %, mientras que el avance del MVP pasó de 21,5 % a 40,5 %. El avance ponderado por esfuerzo se estima alrededor de 38 %, con un rango de 31 % a 46 % por la variabilidad de las estimaciones originales.</w:t>
      </w:r>
    </w:p>
    <w:p>
      <w:pPr>
        <w:spacing w:after="140" w:line="269" w:lineRule="auto"/>
      </w:pPr>
      <w:r>
        <w:t>La plataforma ya cuenta con la estructura financiera de inscripciones, conceptos de cobro, generación automática y manual de cargos, descuentos y becas, vencimiento de cargos, catálogo configurable de métodos de pago y una pantalla robusta para localizar al estudiante, consultar su deuda, seleccionar cargos y preparar el pago.</w:t>
      </w:r>
    </w:p>
    <w:p>
      <w:pPr>
        <w:spacing w:after="140" w:line="269" w:lineRule="auto"/>
      </w:pPr>
      <w:r>
        <w:t>El cierre operativo depende de persistir la transacción, crear las aplicaciones del pago, actualizar saldos de manera atómica, almacenar comprobantes en forma privada y completar anticipos, cancelaciones, recibos y estado de cuenta. Hasta entonces, el módulo es una base avanzada de cobranza, pero no un circuito completo de cobro.</w:t>
      </w:r>
    </w:p>
    <w:p>
      <w:pPr>
        <w:pStyle w:val="Heading2"/>
      </w:pPr>
      <w:r>
        <w:t>Indicadores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Corte anterior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Corte actual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Variación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Tareas completadas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+23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Roadmap completo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15,6 %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29,3 %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+13,7 puntos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MVP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21,5 %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40,5 %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+19,0 puntos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Avance ponderado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Aprox. 15 %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Aprox. 38 %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+23 puntos aprox.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Épicas completas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Migraciones en código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+4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Migraciones en respaldo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Sin cambio</w:t>
            </w:r>
          </w:p>
        </w:tc>
      </w:tr>
    </w:tbl>
    <w:p>
      <w:pPr>
        <w:spacing w:after="0"/>
      </w:pPr>
    </w:p>
    <w:p>
      <w:pPr>
        <w:pStyle w:val="Heading2"/>
      </w:pPr>
      <w:r>
        <w:t>Criterio de medición</w:t>
      </w:r>
    </w:p>
    <w:p>
      <w:pPr>
        <w:spacing w:after="140" w:line="269" w:lineRule="auto"/>
      </w:pPr>
      <w:r>
        <w:t>El porcentaje principal usa el mismo criterio del primer informe: solo suma tareas verificadas como terminadas frente a 167 tareas del roadmap y 121 tareas del MVP. Las tareas parcialmente implementadas no se contabilizan como completas. Por esta razón, la cifra es conservadora y comparable con la línea base.</w:t>
      </w:r>
    </w:p>
    <w:p>
      <w:r>
        <w:br w:type="page"/>
      </w:r>
    </w:p>
    <w:p>
      <w:pPr>
        <w:pStyle w:val="Heading1"/>
      </w:pPr>
      <w:r>
        <w:t>Avance por épica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Tareas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Avance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al corte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Preparación técnica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7 de 7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Baseline, respaldo, revisión de migraciones y correcciones iniciales.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 Inscripciones financieras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14 de 14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Condiciones económicas, responsables, auditoría y configuración histórica.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 Conceptos de cobro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 de 5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Catálogo, seeder, campos SAT, CRUD y acceso de configuración.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 Cargos y mensualidades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 de 10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Cargos automáticos y manuales, descuentos, vencimiento e idempotencia.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 Métodos de pago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 de 4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Catálogo mexicano, CRUD y comportamiento dinámico.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 Registro de pagos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9 de 13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 curso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69,2 %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Captura y revisión listas; faltan persistencia, anticipos y cierre de adjuntos.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7 a 20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Pendientes</w:t>
            </w:r>
          </w:p>
        </w:tc>
        <w:tc>
          <w:tcPr>
            <w:tcW w:type="dxa" w:w="10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Aplicación, cancelación, archivos, recibos, reportes, auditoría, CFDI y pagos en línea.</w:t>
            </w:r>
          </w:p>
        </w:tc>
      </w:tr>
    </w:tbl>
    <w:p>
      <w:pPr>
        <w:spacing w:after="0"/>
      </w:pPr>
    </w:p>
    <w:p>
      <w:pPr>
        <w:pStyle w:val="Heading2"/>
      </w:pPr>
      <w:r>
        <w:t>Detalle de la épica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Alcance verificado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CF-FAC-060 a 066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Completo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Migración, modelo, folio, componente, búsqueda, resumen financiero y selección segura de cargos.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CF-FAC-067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captura un importe parcial y se valida contra el saldo, pero todavía no se registra ni aplica.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CF-FAC-068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seleccionan varios cargos y se calcula el total, pero todavía no se persiste el pago múltiple.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CF-FAC-069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propia interfaz informa que los anticipos se habilitarán en un bloque posterior.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CF-FAC-070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Completo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Campos dinámicos por método para banco, referencia, SPEI, cheque, autorización y otros datos.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CF-FAC-071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Observaciones y validación del archivo temporal están listas; falta almacenamiento privado persistente.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CF-FAC-072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Completo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Estados borrador, confirmado, cancelado y reembolsado definidos en migración y modelo.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Avances confirmados desde el informe base</w:t>
      </w:r>
    </w:p>
    <w:p>
      <w:pPr>
        <w:pStyle w:val="Heading2"/>
      </w:pPr>
      <w:r>
        <w:t>Generación de cargos y mensualidades</w:t>
      </w:r>
    </w:p>
    <w:p>
      <w:pPr>
        <w:pStyle w:val="ListBullet"/>
        <w:spacing w:after="60" w:line="259" w:lineRule="auto"/>
      </w:pPr>
      <w:r>
        <w:t>Se creó la tabla y el modelo Cargo con estados pendiente, parcial, pagado, vencido y cancelado.</w:t>
      </w:r>
    </w:p>
    <w:p>
      <w:pPr>
        <w:pStyle w:val="ListBullet"/>
        <w:spacing w:after="60" w:line="259" w:lineRule="auto"/>
      </w:pPr>
      <w:r>
        <w:t>GeneradorCargosService genera inscripción y calendario de mensualidades, valida la configuración financiera y evita duplicados.</w:t>
      </w:r>
    </w:p>
    <w:p>
      <w:pPr>
        <w:pStyle w:val="ListBullet"/>
        <w:spacing w:after="60" w:line="259" w:lineRule="auto"/>
      </w:pPr>
      <w:r>
        <w:t>La creación manual de cargos extraordinarios incorpora autorización, validación del concepto, atomicidad y controles contra manipulación.</w:t>
      </w:r>
    </w:p>
    <w:p>
      <w:pPr>
        <w:pStyle w:val="ListBullet"/>
        <w:spacing w:after="60" w:line="259" w:lineRule="auto"/>
      </w:pPr>
      <w:r>
        <w:t>Los descuentos y becas se calculan con precisión decimal y se aplican a los cargos automáticos.</w:t>
      </w:r>
    </w:p>
    <w:p>
      <w:pPr>
        <w:pStyle w:val="ListBullet"/>
        <w:spacing w:after="60" w:line="259" w:lineRule="auto"/>
      </w:pPr>
      <w:r>
        <w:t>El comando cargos:marcar-vencidos y su servicio actualizan los cargos vencidos; existe programación diaria documentada en el proyecto.</w:t>
      </w:r>
    </w:p>
    <w:p>
      <w:pPr>
        <w:pStyle w:val="Heading2"/>
      </w:pPr>
      <w:r>
        <w:t>Métodos de pago configurables</w:t>
      </w:r>
    </w:p>
    <w:p>
      <w:pPr>
        <w:pStyle w:val="ListBullet"/>
        <w:spacing w:after="60" w:line="259" w:lineRule="auto"/>
      </w:pPr>
      <w:r>
        <w:t>Se incorporó el catálogo de métodos de pago para México con claves SAT y un canal interno separado cuando corresponde.</w:t>
      </w:r>
    </w:p>
    <w:p>
      <w:pPr>
        <w:pStyle w:val="ListBullet"/>
        <w:spacing w:after="60" w:line="259" w:lineRule="auto"/>
      </w:pPr>
      <w:r>
        <w:t>El CRUD Livewire permite administrar reglas sin codificar cada variante en la pantalla de pago.</w:t>
      </w:r>
    </w:p>
    <w:p>
      <w:pPr>
        <w:pStyle w:val="ListBullet"/>
        <w:spacing w:after="60" w:line="259" w:lineRule="auto"/>
      </w:pPr>
      <w:r>
        <w:t>MetodoPagoBehaviorService determina campos requeridos, comprobante, anticipo relacionado y normalización segura según el método.</w:t>
      </w:r>
    </w:p>
    <w:p>
      <w:pPr>
        <w:pStyle w:val="ListBullet"/>
        <w:spacing w:after="60" w:line="259" w:lineRule="auto"/>
      </w:pPr>
      <w:r>
        <w:t>La migración de alineación corrige la clave SAT del intermediario de pagos y preserva la configuración esperada.</w:t>
      </w:r>
    </w:p>
    <w:p>
      <w:pPr>
        <w:pStyle w:val="Heading2"/>
      </w:pPr>
      <w:r>
        <w:t>Captura y revisión de pagos</w:t>
      </w:r>
    </w:p>
    <w:p>
      <w:pPr>
        <w:pStyle w:val="ListBullet"/>
        <w:spacing w:after="60" w:line="259" w:lineRule="auto"/>
      </w:pPr>
      <w:r>
        <w:t>Se crearon pagos y consecutivos_pago, junto con relaciones, índices, estados, auditoría y campos bancarios.</w:t>
      </w:r>
    </w:p>
    <w:p>
      <w:pPr>
        <w:pStyle w:val="ListBullet"/>
        <w:spacing w:after="60" w:line="259" w:lineRule="auto"/>
      </w:pPr>
      <w:r>
        <w:t>El folio interno se genera con un consecutivo anual protegido para concurrencia.</w:t>
      </w:r>
    </w:p>
    <w:p>
      <w:pPr>
        <w:pStyle w:val="ListBullet"/>
        <w:spacing w:after="60" w:line="259" w:lineRule="auto"/>
      </w:pPr>
      <w:r>
        <w:t>RegistrarPago restringe el acceso, busca inscripciones, muestra saldo total y vencido, selecciona uno o varios cargos y permite importes parciales.</w:t>
      </w:r>
    </w:p>
    <w:p>
      <w:pPr>
        <w:pStyle w:val="ListBullet"/>
        <w:spacing w:after="60" w:line="259" w:lineRule="auto"/>
      </w:pPr>
      <w:r>
        <w:t>La pantalla vuelve a consultar saldos persistidos, retira cargos obsoletos, invalida confirmaciones manipuladas y valida precisión monetaria, incluidos valores no finitos.</w:t>
      </w:r>
    </w:p>
    <w:p>
      <w:pPr>
        <w:pStyle w:val="ListBullet"/>
        <w:spacing w:after="60" w:line="259" w:lineRule="auto"/>
      </w:pPr>
      <w:r>
        <w:t>Se preparan campos dinámicos, observaciones, comprobante temporal y advertencias de posibles referencias duplicadas.</w:t>
      </w:r>
    </w:p>
    <w:p>
      <w:pPr>
        <w:pStyle w:val="Heading2"/>
      </w:pPr>
      <w:r>
        <w:t>Evidencia de evolución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Commits desde la línea base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68 commits entre c4e2317 y dc86c36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Cambio en componentes financieros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60 archivos; 7.102 líneas agregadas y 13 eliminadas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Pruebas presentes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54 archivos de prueba y 332 métodos de prueba en el proyecto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Cobertura financiera identificada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30 archivos y 288 métodos relacionados con inscripciones, cargos, métodos y pagos</w:t>
            </w:r>
          </w:p>
        </w:tc>
      </w:tr>
    </w:tbl>
    <w:p>
      <w:pPr>
        <w:spacing w:after="0"/>
      </w:pPr>
    </w:p>
    <w:p>
      <w:pPr>
        <w:pStyle w:val="Heading1"/>
      </w:pPr>
      <w:r>
        <w:t>Dificultades y riesgos abiertos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 actual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Impacto y acción necesaria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 de datos desalineada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código contiene 56 migraciones; el respaldo SQL suministrado registra 49 y no incluye las tablas financieras nuevas.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Aplicar y verificar las siete migraciones pendientes en un entorno de validación antes de pruebas funcionales.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Pago sin persistencia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prepararPago valida y muestra la revisión, pero no crea registros; una prueba confirma expresamente que pagos permanece vacío.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Implementar guardado y confirmación con idempotencia. Sin esto no existe cobro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Aplicación a cargos pendiente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 existe todavía pago_aplicaciones ni AplicarPagoService.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Completar la épica 7 con transacción y lockForUpdate para actualizar saldos sin doble cobro.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Anticipos deshabilitados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Los métodos que requieren anticipo son rechazados con un mensaje de bloque posterior.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Completar CF-FAC-069 después de definir la aplicación del pago.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Comprobantes no almacenados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archivo se valida como carga temporal; no existe persistencia privada ni descarga autorizada.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Completar CF-FAC-071 junto con la épica 9 antes de usar comprobantes reales.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Validación integral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código incluye cobertura automatizada extensa, pero el ZIP no incorpora un resultado reproducible de la suite integral para este corte.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Ejecutar migraciones y suite completa en PHP/MySQL, registrar comandos, versiones y resultado final.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Alcance posterior amplio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Cancelaciones, cobranza, recibos, correo, auditoría, reportes, cierre de caja y CFDI siguen pendientes.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Mantener la secuencia del backlog y cerrar el núcleo transaccional antes de ampliar interfaz o fiscalidad.</w:t>
            </w:r>
          </w:p>
        </w:tc>
      </w:tr>
    </w:tbl>
    <w:p>
      <w:pPr>
        <w:spacing w:after="0"/>
      </w:pPr>
    </w:p>
    <w:p>
      <w:pPr>
        <w:pStyle w:val="Heading2"/>
      </w:pPr>
      <w:r>
        <w:t>Riesgos cerrados desde el corte anterior</w:t>
      </w:r>
    </w:p>
    <w:p>
      <w:pPr>
        <w:pStyle w:val="ListBullet"/>
        <w:spacing w:after="60" w:line="259" w:lineRule="auto"/>
      </w:pPr>
      <w:r>
        <w:t>La ausencia de cargos operativos se resolvió con la épica 4.</w:t>
      </w:r>
    </w:p>
    <w:p>
      <w:pPr>
        <w:pStyle w:val="ListBullet"/>
        <w:spacing w:after="60" w:line="259" w:lineRule="auto"/>
      </w:pPr>
      <w:r>
        <w:t>La falta de métodos de pago configurables se resolvió con la épica 5.</w:t>
      </w:r>
    </w:p>
    <w:p>
      <w:pPr>
        <w:pStyle w:val="ListBullet"/>
        <w:spacing w:after="60" w:line="259" w:lineRule="auto"/>
      </w:pPr>
      <w:r>
        <w:t>La captura ya no depende de campos bancarios fijos: el comportamiento se deriva del catálogo.</w:t>
      </w:r>
    </w:p>
    <w:p>
      <w:pPr>
        <w:pStyle w:val="ListBullet"/>
        <w:spacing w:after="60" w:line="259" w:lineRule="auto"/>
      </w:pPr>
      <w:r>
        <w:t>La selección de cargos incorpora validaciones de autorización, pertenencia, moneda, estado, saldo y cambios concurrentes.</w:t>
      </w:r>
    </w:p>
    <w:p>
      <w:r>
        <w:br w:type="page"/>
      </w:r>
    </w:p>
    <w:p>
      <w:pPr>
        <w:pStyle w:val="Heading1"/>
      </w:pPr>
      <w:r>
        <w:t>Plan recomendado para el próximo hito</w:t>
      </w:r>
    </w:p>
    <w:p>
      <w:pPr>
        <w:spacing w:after="140" w:line="269" w:lineRule="auto"/>
      </w:pPr>
      <w:r>
        <w:t>El siguiente objetivo debe ser convertir la preparación del pago en una transacción financiera completa y verificable. No conviene iniciar recibos, reportes o CFDI antes de cerrar la aplicación del dinero contra los cargos.</w:t>
      </w:r>
    </w:p>
    <w:p>
      <w:pPr>
        <w:pStyle w:val="ListNumber"/>
        <w:spacing w:after="80" w:line="259" w:lineRule="auto"/>
      </w:pPr>
      <w:r>
        <w:t>Cerrar la épica 6: persistir el pago con todos los datos validados, folio, usuario, zona horaria, método y estado; impedir dobles envíos y conservar la revisión del servidor.</w:t>
      </w:r>
    </w:p>
    <w:p>
      <w:pPr>
        <w:pStyle w:val="ListNumber"/>
        <w:spacing w:after="80" w:line="259" w:lineRule="auto"/>
      </w:pPr>
      <w:r>
        <w:t>Implementar la épica 7: crear pago_aplicaciones y AplicarPagoService, aplicar importes parciales o múltiples y guardar saldos anterior y posterior.</w:t>
      </w:r>
    </w:p>
    <w:p>
      <w:pPr>
        <w:pStyle w:val="ListNumber"/>
        <w:spacing w:after="80" w:line="259" w:lineRule="auto"/>
      </w:pPr>
      <w:r>
        <w:t>Confirmar en una sola transacción: usar DB::transaction y lockForUpdate sobre pago, cargos y consecutivo; rechazar saldos que hayan cambiado.</w:t>
      </w:r>
    </w:p>
    <w:p>
      <w:pPr>
        <w:pStyle w:val="ListNumber"/>
        <w:spacing w:after="80" w:line="259" w:lineRule="auto"/>
      </w:pPr>
      <w:r>
        <w:t>Completar anticipos y comprobantes: habilitar saldo a favor y almacenar archivos en un disco privado con descarga autorizada.</w:t>
      </w:r>
    </w:p>
    <w:p>
      <w:pPr>
        <w:pStyle w:val="ListNumber"/>
        <w:spacing w:after="80" w:line="259" w:lineRule="auto"/>
      </w:pPr>
      <w:r>
        <w:t>Alinear el entorno: aplicar las siete migraciones financieras al respaldo de validación y ejecutar la suite completa en PHP/MySQL.</w:t>
      </w:r>
    </w:p>
    <w:p>
      <w:pPr>
        <w:pStyle w:val="ListNumber"/>
        <w:spacing w:after="80" w:line="259" w:lineRule="auto"/>
      </w:pPr>
      <w:r>
        <w:t>Cerrar el ciclo operativo: continuar con cancelaciones, auditoría, recibo interno, correo, estado de cuenta, cobranza y reportes.</w:t>
      </w:r>
    </w:p>
    <w:p>
      <w:pPr>
        <w:pStyle w:val="Heading2"/>
      </w:pPr>
      <w:r>
        <w:t>Criterios de cierre del próximo hito</w:t>
      </w:r>
    </w:p>
    <w:p>
      <w:pPr>
        <w:pStyle w:val="ListBullet"/>
        <w:spacing w:after="60" w:line="259" w:lineRule="auto"/>
      </w:pPr>
      <w:r>
        <w:t>Un pago confirmado crea exactamente un registro de pago y una o varias aplicaciones.</w:t>
      </w:r>
    </w:p>
    <w:p>
      <w:pPr>
        <w:pStyle w:val="ListBullet"/>
        <w:spacing w:after="60" w:line="259" w:lineRule="auto"/>
      </w:pPr>
      <w:r>
        <w:t>La suma aplicada nunca supera el monto recibido ni el saldo de cada cargo.</w:t>
      </w:r>
    </w:p>
    <w:p>
      <w:pPr>
        <w:pStyle w:val="ListBullet"/>
        <w:spacing w:after="60" w:line="259" w:lineRule="auto"/>
      </w:pPr>
      <w:r>
        <w:t>Los cargos quedan en estado parcial o pagado con saldos exactos a dos decimales.</w:t>
      </w:r>
    </w:p>
    <w:p>
      <w:pPr>
        <w:pStyle w:val="ListBullet"/>
        <w:spacing w:after="60" w:line="259" w:lineRule="auto"/>
      </w:pPr>
      <w:r>
        <w:t>Dos usuarios no pueden aplicar simultáneamente el mismo saldo.</w:t>
      </w:r>
    </w:p>
    <w:p>
      <w:pPr>
        <w:pStyle w:val="ListBullet"/>
        <w:spacing w:after="60" w:line="259" w:lineRule="auto"/>
      </w:pPr>
      <w:r>
        <w:t>Reintentar la misma confirmación no duplica folio, pago, aplicaciones ni archivo.</w:t>
      </w:r>
    </w:p>
    <w:p>
      <w:pPr>
        <w:pStyle w:val="ListBullet"/>
        <w:spacing w:after="60" w:line="259" w:lineRule="auto"/>
      </w:pPr>
      <w:r>
        <w:t>Las pruebas cubren éxito, pago parcial, múltiples cargos, manipulación, concurrencia, rollback y permisos.</w:t>
      </w:r>
    </w:p>
    <w:p>
      <w:pPr>
        <w:pStyle w:val="Heading2"/>
      </w:pPr>
      <w:r>
        <w:t>Proyección</w:t>
      </w:r>
    </w:p>
    <w:p>
      <w:pPr>
        <w:spacing w:after="140" w:line="269" w:lineRule="auto"/>
      </w:pPr>
      <w:r>
        <w:t>Si se completan las cuatro tareas restantes de la épica 6, el avance estricto alcanzaría 53 de 167 tareas, equivalente a 31,7 % del roadmap, y 53 de 121 tareas, equivalente a 43,8 % del MVP. La mayor ganancia funcional llegará al completar también la épica 7, porque entonces el pago modificará realmente el estado de cuenta del alumno.</w:t>
      </w:r>
    </w:p>
    <w:p>
      <w:r>
        <w:br w:type="page"/>
      </w:r>
    </w:p>
    <w:p>
      <w:pPr>
        <w:pStyle w:val="Heading1"/>
      </w:pPr>
      <w:r>
        <w:t>Metodología y fuentes</w:t>
      </w:r>
    </w:p>
    <w:p>
      <w:pPr>
        <w:spacing w:after="140" w:line="269" w:lineRule="auto"/>
      </w:pPr>
      <w:r>
        <w:t>La revisión compara el primer informe con el backlog propuesto y verifica el estado actual contra la rama suministrada. El indicador principal conserva el denominador del informe base para evitar que el porcentaje cambie por una redefinición de alcance.</w:t>
      </w:r>
    </w:p>
    <w:p>
      <w:pPr>
        <w:pStyle w:val="Heading2"/>
      </w:pPr>
      <w:r>
        <w:t>Fuentes revisadas</w:t>
      </w:r>
    </w:p>
    <w:p>
      <w:pPr>
        <w:pStyle w:val="ListBullet"/>
        <w:spacing w:after="60" w:line="259" w:lineRule="auto"/>
      </w:pPr>
      <w:r>
        <w:t>Informe base de avance - Cote France, corte del 23 de agosto de 2026.</w:t>
      </w:r>
    </w:p>
    <w:p>
      <w:pPr>
        <w:pStyle w:val="ListBullet"/>
        <w:spacing w:after="60" w:line="259" w:lineRule="auto"/>
      </w:pPr>
      <w:r>
        <w:t>Backlog de desarrollo propuesto, CF-FAC-001 a CF-FAC-179.</w:t>
      </w:r>
    </w:p>
    <w:p>
      <w:pPr>
        <w:pStyle w:val="ListBullet"/>
        <w:spacing w:after="60" w:line="259" w:lineRule="auto"/>
      </w:pPr>
      <w:r>
        <w:t>Propuesta Facturación - Cote France.</w:t>
      </w:r>
    </w:p>
    <w:p>
      <w:pPr>
        <w:pStyle w:val="ListBullet"/>
        <w:spacing w:after="60" w:line="259" w:lineRule="auto"/>
      </w:pPr>
      <w:r>
        <w:t>Código fuente cote-france-9, rama fracturacion, commit dc86c36.</w:t>
      </w:r>
    </w:p>
    <w:p>
      <w:pPr>
        <w:pStyle w:val="ListBullet"/>
        <w:spacing w:after="60" w:line="259" w:lineRule="auto"/>
      </w:pPr>
      <w:r>
        <w:t>Respaldo SQL u557368528_Spdg (6)(1), con 49 migraciones registradas.</w:t>
      </w:r>
    </w:p>
    <w:p>
      <w:pPr>
        <w:pStyle w:val="Heading2"/>
      </w:pPr>
      <w:r>
        <w:t>Reglas de contabilización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Existe implementación verificable para el alcance de la tarea y se contabiliza como una tarea terminada.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Existe interfaz, estructura o validación, pero falta el resultado funcional principal; no suma al porcentaje estricto.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 se identificó implementación suficiente en el corte analizado.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Ponderación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usan los rangos de horas del backlog; el valor central produce una estimación aproximada, no una medición de horas reales.</w:t>
            </w:r>
          </w:p>
        </w:tc>
      </w:tr>
    </w:tbl>
    <w:p>
      <w:pPr>
        <w:spacing w:after="0"/>
      </w:pPr>
    </w:p>
    <w:p>
      <w:pPr>
        <w:pStyle w:val="Heading1"/>
      </w:pPr>
      <w:r>
        <w:t>Conclusión</w:t>
      </w:r>
    </w:p>
    <w:p>
      <w:pPr>
        <w:spacing w:after="140" w:line="269" w:lineRule="auto"/>
      </w:pPr>
      <w:r>
        <w:t>El proyecto presenta un avance real y sostenido: duplicó ampliamente su porcentaje de MVP y completó dos épicas críticas desde el primer informe. La arquitectura actual permite continuar sin rehacer lo construido. La prioridad inmediata es cerrar la frontera entre captura y contabilidad: persistir, aplicar y confirmar el pago con garantías transaccionales. Alcanzado ese punto, el módulo pasará de una preparación avanzada a un sistema de cobranza utilizable y auditable.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Cote France  |  Informe de avance  |  10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