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saas-subscription-agreement"/>
    <w:p>
      <w:pPr>
        <w:pStyle w:val="Heading1"/>
      </w:pPr>
      <w:r>
        <w:t xml:space="preserve">SAAS SUBSCRIPTION AGREEMENT</w:t>
      </w:r>
    </w:p>
    <w:p>
      <w:pPr>
        <w:pStyle w:val="FirstParagraph"/>
      </w:pPr>
      <w:r>
        <w:rPr>
          <w:b/>
          <w:bCs/>
        </w:rPr>
        <w:t xml:space="preserve">THIS IS A FICTIONAL DOCUMENT FOR AI/LEGAL TRAINING PURPOSES ONLY</w:t>
      </w:r>
    </w:p>
    <w:p>
      <w:r>
        <w:pict>
          <v:rect style="width:0;height:1.5pt" o:hralign="center" o:hrstd="t" o:hr="t"/>
        </w:pict>
      </w:r>
    </w:p>
    <w:p>
      <w:pPr>
        <w:pStyle w:val="FirstParagraph"/>
      </w:pPr>
      <w:r>
        <w:rPr>
          <w:b/>
          <w:bCs/>
        </w:rPr>
        <w:t xml:space="preserve">SkyVault Technologies, Inc. (</w:t>
      </w:r>
      <w:r>
        <w:rPr>
          <w:b/>
          <w:bCs/>
        </w:rPr>
        <w:t xml:space="preserve">“Provider”</w:t>
      </w:r>
      <w:r>
        <w:rPr>
          <w:b/>
          <w:bCs/>
        </w:rPr>
        <w:t xml:space="preserve">)</w:t>
      </w:r>
      <w:r>
        <w:t xml:space="preserve"> </w:t>
      </w:r>
      <w:r>
        <w:t xml:space="preserve">| Effective Date: As of Click-Through Acceptance</w:t>
      </w:r>
    </w:p>
    <w:p>
      <w:r>
        <w:pict>
          <v:rect style="width:0;height:1.5pt" o:hralign="center" o:hrstd="t" o:hr="t"/>
        </w:pict>
      </w:r>
    </w:p>
    <w:bookmarkStart w:id="9" w:name="services"/>
    <w:p>
      <w:pPr>
        <w:pStyle w:val="Heading2"/>
      </w:pPr>
      <w:r>
        <w:t xml:space="preserve">1. SERVICES</w:t>
      </w:r>
    </w:p>
    <w:p>
      <w:pPr>
        <w:pStyle w:val="FirstParagraph"/>
      </w:pPr>
      <w:r>
        <w:t xml:space="preserve">Provider agrees to make the SkyVault Platform (</w:t>
      </w:r>
      <w:r>
        <w:t xml:space="preserve">“Services”</w:t>
      </w:r>
      <w:r>
        <w:t xml:space="preserve">) available to Customer on a best-efforts basis. Provider reserves the right to modify, suspend, or discontinue any feature or the Services in their entirety at any time without notice.</w:t>
      </w:r>
    </w:p>
    <w:bookmarkEnd w:id="9"/>
    <w:bookmarkStart w:id="10" w:name="fees-and-renewal"/>
    <w:p>
      <w:pPr>
        <w:pStyle w:val="Heading2"/>
      </w:pPr>
      <w:r>
        <w:t xml:space="preserve">2. FEES AND RENEWAL</w:t>
      </w:r>
    </w:p>
    <w:p>
      <w:pPr>
        <w:pStyle w:val="FirstParagraph"/>
      </w:pPr>
      <w:r>
        <w:rPr>
          <w:b/>
          <w:bCs/>
        </w:rPr>
        <w:t xml:space="preserve">2.1 Auto-Renewal.</w:t>
      </w:r>
      <w:r>
        <w:t xml:space="preserve"> </w:t>
      </w:r>
      <w:r>
        <w:t xml:space="preserve">Subscriptions automatically renew for successive 12-month terms. Customer must provide written cancellation notice no fewer than</w:t>
      </w:r>
      <w:r>
        <w:t xml:space="preserve"> </w:t>
      </w:r>
      <w:r>
        <w:rPr>
          <w:b/>
          <w:bCs/>
        </w:rPr>
        <w:t xml:space="preserve">15 days</w:t>
      </w:r>
      <w:r>
        <w:t xml:space="preserve"> </w:t>
      </w:r>
      <w:r>
        <w:t xml:space="preserve">before the end of the current term. Failure to provide timely notice constitutes binding acceptance of renewal.</w:t>
      </w:r>
    </w:p>
    <w:p>
      <w:pPr>
        <w:pStyle w:val="BodyText"/>
      </w:pPr>
      <w:r>
        <w:rPr>
          <w:b/>
          <w:bCs/>
        </w:rPr>
        <w:t xml:space="preserve">2.2 Price Increases.</w:t>
      </w:r>
      <w:r>
        <w:t xml:space="preserve"> </w:t>
      </w:r>
      <w:r>
        <w:t xml:space="preserve">Provider may increase fees for any renewal term by any amount at its sole discretion. Provider will use commercially reasonable efforts to notify Customer of price changes before the renewal date, but failure to provide such notice does not void the renewal or the new pricing. Customer’s continued use of the Services after renewal constitutes acceptance of updated fees.</w:t>
      </w:r>
    </w:p>
    <w:bookmarkEnd w:id="10"/>
    <w:bookmarkStart w:id="11" w:name="service-levels"/>
    <w:p>
      <w:pPr>
        <w:pStyle w:val="Heading2"/>
      </w:pPr>
      <w:r>
        <w:t xml:space="preserve">3. SERVICE LEVELS</w:t>
      </w:r>
    </w:p>
    <w:p>
      <w:pPr>
        <w:pStyle w:val="FirstParagraph"/>
      </w:pPr>
      <w:r>
        <w:rPr>
          <w:b/>
          <w:bCs/>
        </w:rPr>
        <w:t xml:space="preserve">3.1 No Guaranteed Uptime.</w:t>
      </w:r>
      <w:r>
        <w:t xml:space="preserve"> </w:t>
      </w:r>
      <w:r>
        <w:t xml:space="preserve">Provider will endeavor to maintain reasonable availability but makes no uptime commitments and provides no SLA credits, service credits, refunds, or other remedies for downtime, degraded performance, data loss, or service interruptions of any kind or duration.</w:t>
      </w:r>
    </w:p>
    <w:p>
      <w:pPr>
        <w:pStyle w:val="BodyText"/>
      </w:pPr>
      <w:r>
        <w:rPr>
          <w:b/>
          <w:bCs/>
        </w:rPr>
        <w:t xml:space="preserve">3.2 Maintenance.</w:t>
      </w:r>
      <w:r>
        <w:t xml:space="preserve"> </w:t>
      </w:r>
      <w:r>
        <w:t xml:space="preserve">Provider may perform scheduled or unscheduled maintenance at any time, with or without advance notice.</w:t>
      </w:r>
    </w:p>
    <w:bookmarkEnd w:id="11"/>
    <w:bookmarkStart w:id="12" w:name="customer-data-and-ai-training"/>
    <w:p>
      <w:pPr>
        <w:pStyle w:val="Heading2"/>
      </w:pPr>
      <w:r>
        <w:t xml:space="preserve">4. CUSTOMER DATA AND AI TRAINING</w:t>
      </w:r>
    </w:p>
    <w:p>
      <w:pPr>
        <w:pStyle w:val="FirstParagraph"/>
      </w:pPr>
      <w:r>
        <w:rPr>
          <w:b/>
          <w:bCs/>
        </w:rPr>
        <w:t xml:space="preserve">4.1 License to Customer Data.</w:t>
      </w:r>
      <w:r>
        <w:t xml:space="preserve"> </w:t>
      </w:r>
      <w:r>
        <w:t xml:space="preserve">Customer hereby grants Provider a perpetual, irrevocable, worldwide, royalty-free license to access, use, copy, process, and analyze all data, content, and information submitted to or processed by the Services (</w:t>
      </w:r>
      <w:r>
        <w:t xml:space="preserve">“Customer Data”</w:t>
      </w:r>
      <w:r>
        <w:t xml:space="preserve">), including without limitation for the purposes of:</w:t>
      </w:r>
    </w:p>
    <w:p>
      <w:pPr>
        <w:pStyle w:val="Compact"/>
        <w:numPr>
          <w:ilvl w:val="0"/>
          <w:numId w:val="1001"/>
        </w:numPr>
      </w:pPr>
    </w:p>
    <w:p>
      <w:pPr>
        <w:pStyle w:val="Compact"/>
        <w:numPr>
          <w:ilvl w:val="1"/>
          <w:numId w:val="1002"/>
        </w:numPr>
      </w:pPr>
      <w:r>
        <w:t xml:space="preserve">improving, training, and developing Provider’s artificial intelligence and machine learning models;</w:t>
      </w:r>
    </w:p>
    <w:p>
      <w:pPr>
        <w:pStyle w:val="Compact"/>
        <w:numPr>
          <w:ilvl w:val="0"/>
          <w:numId w:val="1001"/>
        </w:numPr>
      </w:pPr>
    </w:p>
    <w:p>
      <w:pPr>
        <w:pStyle w:val="Compact"/>
        <w:numPr>
          <w:ilvl w:val="1"/>
          <w:numId w:val="1003"/>
        </w:numPr>
      </w:pPr>
      <w:r>
        <w:t xml:space="preserve">creating derived data sets and analytics products;</w:t>
      </w:r>
    </w:p>
    <w:p>
      <w:pPr>
        <w:pStyle w:val="Compact"/>
        <w:numPr>
          <w:ilvl w:val="0"/>
          <w:numId w:val="1001"/>
        </w:numPr>
      </w:pPr>
    </w:p>
    <w:p>
      <w:pPr>
        <w:pStyle w:val="Compact"/>
        <w:numPr>
          <w:ilvl w:val="1"/>
          <w:numId w:val="1004"/>
        </w:numPr>
      </w:pPr>
      <w:r>
        <w:t xml:space="preserve">any other internal or commercial purpose Provider deems appropriate.</w:t>
      </w:r>
    </w:p>
    <w:p>
      <w:pPr>
        <w:pStyle w:val="FirstParagraph"/>
      </w:pPr>
      <w:r>
        <w:rPr>
          <w:b/>
          <w:bCs/>
        </w:rPr>
        <w:t xml:space="preserve">4.2 Anonymization Not Required.</w:t>
      </w:r>
      <w:r>
        <w:t xml:space="preserve"> </w:t>
      </w:r>
      <w:r>
        <w:t xml:space="preserve">Provider is not required to anonymize or aggregate Customer Data prior to such use. Customer represents that it has all rights necessary to grant the foregoing license.</w:t>
      </w:r>
    </w:p>
    <w:bookmarkEnd w:id="12"/>
    <w:bookmarkStart w:id="13" w:name="limitation-of-liability"/>
    <w:p>
      <w:pPr>
        <w:pStyle w:val="Heading2"/>
      </w:pPr>
      <w:r>
        <w:t xml:space="preserve">5. LIMITATION OF LIABILITY</w:t>
      </w:r>
    </w:p>
    <w:p>
      <w:pPr>
        <w:pStyle w:val="FirstParagraph"/>
      </w:pPr>
      <w:r>
        <w:rPr>
          <w:b/>
          <w:bCs/>
        </w:rPr>
        <w:t xml:space="preserve">5.1 Liability Cap.</w:t>
      </w:r>
      <w:r>
        <w:t xml:space="preserve"> </w:t>
      </w:r>
      <w:r>
        <w:t xml:space="preserve">TO THE MAXIMUM EXTENT PERMITTED BY LAW, PROVIDER’S TOTAL CUMULATIVE LIABILITY TO CUSTOMER FOR ANY AND ALL CLAIMS ARISING UNDER OR RELATED TO THIS AGREEMENT SHALL NOT EXCEED THE FEES PAID BY CUSTOMER IN THE</w:t>
      </w:r>
      <w:r>
        <w:t xml:space="preserve"> </w:t>
      </w:r>
      <w:r>
        <w:rPr>
          <w:b/>
          <w:bCs/>
        </w:rPr>
        <w:t xml:space="preserve">THREE (3) MONTHS</w:t>
      </w:r>
      <w:r>
        <w:t xml:space="preserve"> </w:t>
      </w:r>
      <w:r>
        <w:t xml:space="preserve">IMMEDIATELY PRECEDING THE EVENT GIVING RISE TO LIABILITY.</w:t>
      </w:r>
    </w:p>
    <w:p>
      <w:pPr>
        <w:pStyle w:val="BodyText"/>
      </w:pPr>
      <w:r>
        <w:rPr>
          <w:b/>
          <w:bCs/>
        </w:rPr>
        <w:t xml:space="preserve">5.2 Exclusion of Damages.</w:t>
      </w:r>
      <w:r>
        <w:t xml:space="preserve"> </w:t>
      </w:r>
      <w:r>
        <w:t xml:space="preserve">IN NO EVENT SHALL PROVIDER BE LIABLE FOR ANY INDIRECT, INCIDENTAL, SPECIAL, CONSEQUENTIAL, PUNITIVE, OR EXEMPLARY DAMAGES, INCLUDING LOSS OF PROFITS, DATA, BUSINESS, OR GOODWILL, EVEN IF ADVISED OF THE POSSIBILITY OF SUCH DAMAGES.</w:t>
      </w:r>
    </w:p>
    <w:p>
      <w:pPr>
        <w:pStyle w:val="BodyText"/>
      </w:pPr>
      <w:r>
        <w:rPr>
          <w:b/>
          <w:bCs/>
        </w:rPr>
        <w:t xml:space="preserve">5.3 Applicability.</w:t>
      </w:r>
      <w:r>
        <w:t xml:space="preserve"> </w:t>
      </w:r>
      <w:r>
        <w:t xml:space="preserve">The foregoing limitations apply regardless of the theory of liability — contract, tort, strict liability, or otherwise — and shall apply even if any limited remedy fails of its essential purpose.</w:t>
      </w:r>
    </w:p>
    <w:bookmarkEnd w:id="13"/>
    <w:bookmarkStart w:id="14" w:name="indemnification"/>
    <w:p>
      <w:pPr>
        <w:pStyle w:val="Heading2"/>
      </w:pPr>
      <w:r>
        <w:t xml:space="preserve">6. INDEMNIFICATION</w:t>
      </w:r>
    </w:p>
    <w:p>
      <w:pPr>
        <w:pStyle w:val="FirstParagraph"/>
      </w:pPr>
      <w:r>
        <w:t xml:space="preserve">Customer shall defend, indemnify, and hold harmless Provider and its affiliates, officers, directors, and employees from any claims, damages, liabilities, and expenses (including attorneys’ fees) arising out of or related to Customer’s use of the Services or breach of this Agreement.</w:t>
      </w:r>
    </w:p>
    <w:bookmarkEnd w:id="14"/>
    <w:bookmarkStart w:id="15" w:name="governing-law-and-disputes"/>
    <w:p>
      <w:pPr>
        <w:pStyle w:val="Heading2"/>
      </w:pPr>
      <w:r>
        <w:t xml:space="preserve">7. GOVERNING LAW AND DISPUTES</w:t>
      </w:r>
    </w:p>
    <w:p>
      <w:pPr>
        <w:pStyle w:val="FirstParagraph"/>
      </w:pPr>
      <w:r>
        <w:t xml:space="preserve">This Agreement shall be governed by the laws of the State of Delaware. Any disputes shall be resolved by binding individual arbitration; class actions are expressly waived. The arbitration shall be conducted in Wilmington, Delaware at Customer’s expense.</w:t>
      </w:r>
    </w:p>
    <w:bookmarkEnd w:id="15"/>
    <w:bookmarkStart w:id="16" w:name="modifications"/>
    <w:p>
      <w:pPr>
        <w:pStyle w:val="Heading2"/>
      </w:pPr>
      <w:r>
        <w:t xml:space="preserve">8. MODIFICATIONS</w:t>
      </w:r>
    </w:p>
    <w:p>
      <w:pPr>
        <w:pStyle w:val="FirstParagraph"/>
      </w:pPr>
      <w:r>
        <w:t xml:space="preserve">Provider may update this Agreement at any time by posting a revised version to its website. Continued use of the Services following posting constitutes acceptance. Customer is responsible for reviewing the Agreement periodically.</w:t>
      </w:r>
    </w:p>
    <w:p>
      <w:r>
        <w:pict>
          <v:rect style="width:0;height:1.5pt" o:hralign="center" o:hrstd="t" o:hr="t"/>
        </w:pict>
      </w:r>
    </w:p>
    <w:p>
      <w:pPr>
        <w:pStyle w:val="FirstParagraph"/>
      </w:pPr>
      <w:r>
        <w:rPr>
          <w:i/>
          <w:iCs/>
        </w:rPr>
        <w:t xml:space="preserve">By clicking</w:t>
      </w:r>
      <w:r>
        <w:rPr>
          <w:i/>
          <w:iCs/>
        </w:rPr>
        <w:t xml:space="preserve"> </w:t>
      </w:r>
      <w:r>
        <w:rPr>
          <w:i/>
          <w:iCs/>
        </w:rPr>
        <w:t xml:space="preserve">“I Accept”</w:t>
      </w:r>
      <w:r>
        <w:rPr>
          <w:i/>
          <w:iCs/>
        </w:rPr>
        <w:t xml:space="preserve"> </w:t>
      </w:r>
      <w:r>
        <w:rPr>
          <w:i/>
          <w:iCs/>
        </w:rPr>
        <w:t xml:space="preserve">or accessing the Services, Customer agrees to be bound by this Agreement.</w:t>
      </w:r>
    </w:p>
    <w:p>
      <w:pPr>
        <w:pStyle w:val="BodyText"/>
      </w:pPr>
      <w:r>
        <w:rPr>
          <w:b/>
          <w:bCs/>
        </w:rPr>
        <w:t xml:space="preserve">SkyVault Technologies, Inc.</w:t>
      </w:r>
      <w:r>
        <w:t xml:space="preserve"> </w:t>
      </w:r>
      <w:r>
        <w:t xml:space="preserve">—</w:t>
      </w:r>
      <w:r>
        <w:t xml:space="preserve"> </w:t>
      </w:r>
      <w:r>
        <w:rPr>
          <w:i/>
          <w:iCs/>
        </w:rPr>
        <w:t xml:space="preserve">“Your Data, Elevated.”</w:t>
      </w:r>
    </w:p>
    <w:p>
      <w:r>
        <w:pict>
          <v:rect style="width:0;height:1.5pt" o:hralign="center" o:hrstd="t" o:hr="t"/>
        </w:pict>
      </w:r>
    </w:p>
    <w:p>
      <w:pPr>
        <w:pStyle w:val="FirstParagraph"/>
      </w:pPr>
      <w:r>
        <w:rPr>
          <w:b/>
          <w:bCs/>
        </w:rPr>
        <w:t xml:space="preserve">[END OF DOCUMENT — FICTIONAL TRAINING ARTIFACT]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2026-03-20T21:16:04Z</dcterms:created>
  <dcterms:modified xsi:type="dcterms:W3CDTF">2026-03-20T21:16:04Z</dcterms:modified>
</cp:coreProperties>
</file>

<file path=docProps/custom.xml><?xml version="1.0" encoding="utf-8"?>
<Properties xmlns="http://schemas.openxmlformats.org/officeDocument/2006/custom-properties" xmlns:vt="http://schemas.openxmlformats.org/officeDocument/2006/docPropsVTypes"/>
</file>