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28.png" ContentType="image/png"/>
  <Override PartName="/word/media/rId32.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Bruce Devlin</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2117-10</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377-1 and SMPTE ST 379-2 apply.</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1" name="Picture"/>
            <a:graphic>
              <a:graphicData uri="http://schemas.openxmlformats.org/drawingml/2006/picture">
                <pic:pic>
                  <pic:nvPicPr>
                    <pic:cNvPr descr="figure-02.png" id="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31" w:name="Xac3d3f8419b293bb0f6ace9b674a9cba7c27c5d"/>
      <w:r>
        <w:t xml:space="preserve">5 Mapping VC-6 Bitstream into the MXF Generic Container</w:t>
      </w:r>
      <w:bookmarkEnd w:id="31"/>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1" name="Picture"/>
            <a:graphic>
              <a:graphicData uri="http://schemas.openxmlformats.org/drawingml/2006/picture">
                <pic:pic>
                  <pic:nvPicPr>
                    <pic:cNvPr descr="figure-04.png" id="0" name="Picture"/>
                    <pic:cNvPicPr>
                      <a:picLocks noChangeArrowheads="1" noChangeAspect="1"/>
                    </pic:cNvPicPr>
                  </pic:nvPicPr>
                  <pic:blipFill>
                    <a:blip r:embed="rId32"/>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p>
      <w:pPr>
        <w:pStyle w:val="Heading1"/>
      </w:pPr>
      <w:bookmarkStart w:id="33" w:name="key-length-value-encoding"/>
      <w:r>
        <w:t xml:space="preserve">6 Key Length Value Encoding</w:t>
      </w:r>
      <w:bookmarkEnd w:id="33"/>
    </w:p>
    <w:p>
      <w:pPr>
        <w:pStyle w:val="Heading2"/>
      </w:pPr>
      <w:bookmarkStart w:id="34" w:name="picture-element-key"/>
      <w:r>
        <w:t xml:space="preserve">6.1 Picture Element Key</w:t>
      </w:r>
      <w:bookmarkEnd w:id="34"/>
    </w:p>
    <w:p>
      <w:pPr>
        <w:pStyle w:val="Heading3"/>
      </w:pPr>
      <w:bookmarkStart w:id="35" w:name="smpte-st-2117-picture-element-key"/>
      <w:r>
        <w:t xml:space="preserve">6.1.1 SMPTE ST-2117 Picture Element Key</w:t>
      </w:r>
      <w:bookmarkEnd w:id="35"/>
    </w:p>
    <w:p>
      <w:pPr>
        <w:pStyle w:val="smpte-caption"/>
      </w:pPr>
      <w:r>
        <w:t xml:space="preserve">Table 1 - Picture Element Keys</w:t>
      </w:r>
    </w:p>
    <w:tbl>
      <w:tblPr>
        <w:tblStyle w:val="Table"/>
        <w:tblW w:type="pct" w:w="5000.0"/>
        <w:tblLook w:firstRow="1" w:lastRow="0" w:firstColumn="0" w:lastColumn="0" w:noHBand="0" w:noVBand="0"/>
      </w:tblPr>
      <w:tblGrid>
        <w:gridCol w:w="2012"/>
        <w:gridCol w:w="2596"/>
        <w:gridCol w:w="331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p>
      <w:pPr>
        <w:pStyle w:val="Heading3"/>
      </w:pPr>
      <w:bookmarkStart w:id="36" w:name="smpte-st-2117-picture-element-length"/>
      <w:r>
        <w:t xml:space="preserve">6.1.2 SMPTE ST-2117 Picture Element Length</w:t>
      </w:r>
      <w:bookmarkEnd w:id="36"/>
    </w:p>
    <w:p>
      <w:pPr>
        <w:pStyle w:val="FirstParagraph"/>
      </w:pPr>
      <w:r>
        <w:t xml:space="preserve">The length field of the KLV coded Element shall comply with SMPTE ST 379-2.</w:t>
      </w:r>
    </w:p>
    <w:p>
      <w:pPr>
        <w:pStyle w:val="Heading3"/>
      </w:pPr>
      <w:bookmarkStart w:id="37" w:name="smpte-st-2117-picture-element-value"/>
      <w:r>
        <w:t xml:space="preserve">6.1.3 SMPTE ST-2117 Picture Element Value</w:t>
      </w:r>
      <w:bookmarkEnd w:id="37"/>
    </w:p>
    <w:p>
      <w:pPr>
        <w:pStyle w:val="FirstParagraph"/>
      </w:pPr>
      <w:r>
        <w:t xml:space="preserve">Each Picture Element value shall be a bitstream for a single image compliant with SMPTE ST-2117-1.</w:t>
      </w:r>
    </w:p>
    <w:p>
      <w:pPr>
        <w:pStyle w:val="Heading1"/>
      </w:pPr>
      <w:bookmarkStart w:id="38" w:name="mxf-labels"/>
      <w:r>
        <w:t xml:space="preserve">7 MXF Labels</w:t>
      </w:r>
      <w:bookmarkEnd w:id="38"/>
    </w:p>
    <w:p>
      <w:pPr>
        <w:pStyle w:val="Heading2"/>
      </w:pPr>
      <w:bookmarkStart w:id="39" w:name="essence-container-label"/>
      <w:r>
        <w:t xml:space="preserve">7.1 Essence Container Label</w:t>
      </w:r>
      <w:bookmarkEnd w:id="39"/>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MXFGCVC6BitstreamTypes</w:t>
            </w:r>
          </w:p>
        </w:tc>
        <w:tc>
          <w:p>
            <w:pPr>
              <w:pStyle w:val="Compact"/>
              <w:jc w:val="left"/>
            </w:pPr>
            <w:r>
              <w:t xml:space="preserve">NODE</w:t>
            </w:r>
          </w:p>
        </w:tc>
        <w:tc>
          <w:p>
            <w:pPr>
              <w:pStyle w:val="Compact"/>
              <w:jc w:val="left"/>
            </w:pPr>
            <w:r>
              <w:t xml:space="preserve">urn:smpte:ul:060e2b34.0401010d.0d010301.02240000</w:t>
            </w:r>
          </w:p>
        </w:tc>
      </w:tr>
      <w:tr>
        <w:tc>
          <w:p>
            <w:pPr>
              <w:pStyle w:val="Compact"/>
              <w:jc w:val="left"/>
            </w:pPr>
            <w:r>
              <w:t xml:space="preserve">MXFGCVC6FrameWrappedGenericBitstream</w:t>
            </w:r>
          </w:p>
        </w:tc>
        <w:tc>
          <w:p>
            <w:pPr>
              <w:pStyle w:val="Compact"/>
              <w:jc w:val="left"/>
            </w:pPr>
            <w:r>
              <w:t xml:space="preserve">LEAF</w:t>
            </w:r>
          </w:p>
        </w:tc>
        <w:tc>
          <w:p>
            <w:pPr>
              <w:pStyle w:val="Compact"/>
              <w:jc w:val="left"/>
            </w:pPr>
            <w:r>
              <w:t xml:space="preserve">urn:smpte:ul:060e2b34.0401010d.0d010301.02240100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urn:smpte:ul:060e2b34.0401010d.0d010301.02240200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40" w:name="picture-essence-coding-label"/>
      <w:r>
        <w:t xml:space="preserve">7.2 Picture Essence Coding Label</w:t>
      </w:r>
      <w:bookmarkEnd w:id="40"/>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VC6Bitstreams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VC6UnrestrictedBitstream</w:t>
            </w:r>
          </w:p>
        </w:tc>
        <w:tc>
          <w:p>
            <w:pPr>
              <w:pStyle w:val="Compact"/>
              <w:jc w:val="left"/>
            </w:pPr>
            <w:r>
              <w:t xml:space="preserve">LEAF</w:t>
            </w:r>
          </w:p>
        </w:tc>
        <w:tc>
          <w:p>
            <w:pPr>
              <w:pStyle w:val="Compact"/>
              <w:jc w:val="left"/>
            </w:pPr>
            <w:r>
              <w:t xml:space="preserve">urn:smpte:ul:060e2b34.0401010d.0d010301.02210100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p>
      <w:pPr>
        <w:pStyle w:val="Heading1"/>
      </w:pPr>
      <w:bookmarkStart w:id="41" w:name="vc6subdescriptor"/>
      <w:r>
        <w:t xml:space="preserve">8 </w:t>
      </w:r>
      <w:r>
        <w:rPr>
          <w:rStyle w:val="VerbatimChar"/>
        </w:rPr>
        <w:t xml:space="preserve">VC6SubDescriptor</w:t>
      </w:r>
      <w:bookmarkEnd w:id="41"/>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
        </w:rPr>
        <w:t xml:space="preserve">Req</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0"/>
        <w:tblLook w:firstRow="1" w:lastRow="0" w:firstColumn="0" w:lastColumn="0" w:noHBand="0" w:noVBand="0"/>
      </w:tblPr>
      <w:tblGrid>
        <w:gridCol w:w="1445"/>
        <w:gridCol w:w="4400"/>
        <w:gridCol w:w="207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Register.Kind</w:t>
            </w:r>
          </w:p>
        </w:tc>
        <w:tc>
          <w:tcPr>
            <w:tcBorders>
              <w:bottom w:val="single"/>
            </w:tcBorders>
            <w:vAlign w:val="bottom"/>
          </w:tcPr>
          <w:p>
            <w:pPr>
              <w:pStyle w:val="Compact"/>
              <w:jc w:val="left"/>
            </w:pPr>
            <w:r>
              <w:t xml:space="preserve">Item UL</w:t>
            </w:r>
          </w:p>
        </w:tc>
      </w:tr>
      <w:tr>
        <w:tc>
          <w:p>
            <w:pPr>
              <w:pStyle w:val="Compact"/>
              <w:jc w:val="left"/>
            </w:pPr>
            <w:r>
              <w:t xml:space="preserve">VC6Parameters</w:t>
            </w:r>
          </w:p>
        </w:tc>
        <w:tc>
          <w:p>
            <w:pPr>
              <w:pStyle w:val="Compact"/>
              <w:jc w:val="left"/>
            </w:pPr>
            <w:r>
              <w:t xml:space="preserve">Elements.NODE</w:t>
            </w:r>
          </w:p>
        </w:tc>
        <w:tc>
          <w:p>
            <w:pPr>
              <w:pStyle w:val="Compact"/>
              <w:jc w:val="left"/>
            </w:pPr>
            <w:r>
              <w:t xml:space="preserve">urn:smpte:ul:060e2b34.0101010e.0401060d.00000000</w:t>
            </w:r>
          </w:p>
        </w:tc>
      </w:tr>
      <w:tr>
        <w:tc>
          <w:p>
            <w:pPr>
              <w:pStyle w:val="Compact"/>
              <w:jc w:val="left"/>
            </w:pPr>
            <w:r>
              <w:t xml:space="preserve">VC6SubDescriptor</w:t>
            </w:r>
          </w:p>
        </w:tc>
        <w:tc>
          <w:p>
            <w:pPr>
              <w:pStyle w:val="Compact"/>
              <w:jc w:val="left"/>
            </w:pPr>
            <w:r>
              <w:t xml:space="preserve">Groups.LEAF</w:t>
            </w:r>
          </w:p>
        </w:tc>
        <w:tc>
          <w:p>
            <w:pPr>
              <w:pStyle w:val="Compact"/>
              <w:jc w:val="left"/>
            </w:pPr>
            <w:r>
              <w:t xml:space="preserve">urn:smpte:ul:060e2b34.027f0101.0d010101.01018104</w:t>
            </w:r>
          </w:p>
        </w:tc>
      </w:tr>
      <w:tr>
        <w:tc>
          <w:p>
            <w:pPr>
              <w:pStyle w:val="Compact"/>
              <w:jc w:val="left"/>
            </w:pPr>
            <w:r>
              <w:t xml:space="preserve">VC6EchelonProperties</w:t>
            </w:r>
          </w:p>
        </w:tc>
        <w:tc>
          <w:p>
            <w:pPr>
              <w:pStyle w:val="Compact"/>
              <w:jc w:val="left"/>
            </w:pPr>
            <w:r>
              <w:t xml:space="preserve">Groups.LEAF</w:t>
            </w:r>
          </w:p>
        </w:tc>
        <w:tc>
          <w:p>
            <w:pPr>
              <w:pStyle w:val="Compact"/>
              <w:jc w:val="left"/>
            </w:pPr>
            <w:r>
              <w:t xml:space="preserve">urn:smpte:ul:060e2b34.027f0101.0d010101.01018105</w:t>
            </w:r>
          </w:p>
        </w:tc>
      </w:tr>
      <w:tr>
        <w:tc>
          <w:p>
            <w:pPr>
              <w:pStyle w:val="Compact"/>
              <w:jc w:val="left"/>
            </w:pPr>
            <w:r>
              <w:t xml:space="preserve">VC6GCUpsamplersBatch</w:t>
            </w:r>
          </w:p>
        </w:tc>
        <w:tc>
          <w:p>
            <w:pPr>
              <w:pStyle w:val="Compact"/>
              <w:jc w:val="left"/>
            </w:pPr>
            <w:r>
              <w:t xml:space="preserve">Elements.LEAF</w:t>
            </w:r>
          </w:p>
        </w:tc>
        <w:tc>
          <w:p>
            <w:pPr>
              <w:pStyle w:val="Compact"/>
              <w:jc w:val="left"/>
            </w:pPr>
            <w:r>
              <w:t xml:space="preserve">urn:smpte:ul:060e2b34.0101010e.0401060d.01000000</w:t>
            </w:r>
          </w:p>
        </w:tc>
      </w:tr>
      <w:tr>
        <w:tc>
          <w:p>
            <w:pPr>
              <w:pStyle w:val="Compact"/>
              <w:jc w:val="left"/>
            </w:pPr>
            <w:r>
              <w:t xml:space="preserve">VC6ShortcutVectorsBatch</w:t>
            </w:r>
          </w:p>
        </w:tc>
        <w:tc>
          <w:p>
            <w:pPr>
              <w:pStyle w:val="Compact"/>
              <w:jc w:val="left"/>
            </w:pPr>
            <w:r>
              <w:t xml:space="preserve">Elements.LEAF</w:t>
            </w:r>
          </w:p>
        </w:tc>
        <w:tc>
          <w:p>
            <w:pPr>
              <w:pStyle w:val="Compact"/>
              <w:jc w:val="left"/>
            </w:pPr>
            <w:r>
              <w:t xml:space="preserve">urn:smpte:ul:060e2b34.0101010e.0401060d.02000000</w:t>
            </w:r>
          </w:p>
        </w:tc>
      </w:tr>
      <w:tr>
        <w:tc>
          <w:p>
            <w:pPr>
              <w:pStyle w:val="Compact"/>
              <w:jc w:val="left"/>
            </w:pPr>
            <w:r>
              <w:t xml:space="preserve">VC6Lossless</w:t>
            </w:r>
          </w:p>
        </w:tc>
        <w:tc>
          <w:p>
            <w:pPr>
              <w:pStyle w:val="Compact"/>
              <w:jc w:val="left"/>
            </w:pPr>
            <w:r>
              <w:t xml:space="preserve">Elements.LEAF</w:t>
            </w:r>
          </w:p>
        </w:tc>
        <w:tc>
          <w:p>
            <w:pPr>
              <w:pStyle w:val="Compact"/>
              <w:jc w:val="left"/>
            </w:pPr>
            <w:r>
              <w:t xml:space="preserve">urn:smpte:ul:060e2b34.0101010e.0401060d.03000000</w:t>
            </w:r>
          </w:p>
        </w:tc>
      </w:tr>
      <w:tr>
        <w:tc>
          <w:p>
            <w:pPr>
              <w:pStyle w:val="Compact"/>
              <w:jc w:val="left"/>
            </w:pPr>
            <w:r>
              <w:t xml:space="preserve">VC6CBR</w:t>
            </w:r>
          </w:p>
        </w:tc>
        <w:tc>
          <w:p>
            <w:pPr>
              <w:pStyle w:val="Compact"/>
              <w:jc w:val="left"/>
            </w:pPr>
            <w:r>
              <w:t xml:space="preserve">Elements.LEAF</w:t>
            </w:r>
          </w:p>
        </w:tc>
        <w:tc>
          <w:p>
            <w:pPr>
              <w:pStyle w:val="Compact"/>
              <w:jc w:val="left"/>
            </w:pPr>
            <w:r>
              <w:t xml:space="preserve">urn:smpte:ul:060e2b34.0101010e.0401060d.04000000</w:t>
            </w:r>
          </w:p>
        </w:tc>
      </w:tr>
      <w:tr>
        <w:tc>
          <w:p>
            <w:pPr>
              <w:pStyle w:val="Compact"/>
              <w:jc w:val="left"/>
            </w:pPr>
            <w:r>
              <w:t xml:space="preserve">VC6Bitrate</w:t>
            </w:r>
          </w:p>
        </w:tc>
        <w:tc>
          <w:p>
            <w:pPr>
              <w:pStyle w:val="Compact"/>
              <w:jc w:val="left"/>
            </w:pPr>
            <w:r>
              <w:t xml:space="preserve">Elements.LEAF</w:t>
            </w:r>
          </w:p>
        </w:tc>
        <w:tc>
          <w:p>
            <w:pPr>
              <w:pStyle w:val="Compact"/>
              <w:jc w:val="left"/>
            </w:pPr>
            <w:r>
              <w:t xml:space="preserve">urn:smpte:ul:060e2b34.0101010e.0401060d.05000000</w:t>
            </w:r>
          </w:p>
        </w:tc>
      </w:tr>
      <w:tr>
        <w:tc>
          <w:p>
            <w:pPr>
              <w:pStyle w:val="Compact"/>
              <w:jc w:val="left"/>
            </w:pPr>
            <w:r>
              <w:t xml:space="preserve">VC6CompressedFrameMax</w:t>
            </w:r>
          </w:p>
        </w:tc>
        <w:tc>
          <w:p>
            <w:pPr>
              <w:pStyle w:val="Compact"/>
              <w:jc w:val="left"/>
            </w:pPr>
            <w:r>
              <w:t xml:space="preserve">Elements.LEAF</w:t>
            </w:r>
          </w:p>
        </w:tc>
        <w:tc>
          <w:p>
            <w:pPr>
              <w:pStyle w:val="Compact"/>
              <w:jc w:val="left"/>
            </w:pPr>
            <w:r>
              <w:t xml:space="preserve">urn:smpte:ul:060e2b34.0101010e.0401060d.06000000</w:t>
            </w:r>
          </w:p>
        </w:tc>
      </w:tr>
      <w:tr>
        <w:tc>
          <w:p>
            <w:pPr>
              <w:pStyle w:val="Compact"/>
              <w:jc w:val="left"/>
            </w:pPr>
            <w:r>
              <w:t xml:space="preserve">VC6CompressedFrameAvg</w:t>
            </w:r>
          </w:p>
        </w:tc>
        <w:tc>
          <w:p>
            <w:pPr>
              <w:pStyle w:val="Compact"/>
              <w:jc w:val="left"/>
            </w:pPr>
            <w:r>
              <w:t xml:space="preserve">Elements.LEAF</w:t>
            </w:r>
          </w:p>
        </w:tc>
        <w:tc>
          <w:p>
            <w:pPr>
              <w:pStyle w:val="Compact"/>
              <w:jc w:val="left"/>
            </w:pPr>
            <w:r>
              <w:t xml:space="preserve">urn:smpte:ul:060e2b34.0101010e.0401060d.07000000</w:t>
            </w:r>
          </w:p>
        </w:tc>
      </w:tr>
      <w:tr>
        <w:tc>
          <w:p>
            <w:pPr>
              <w:pStyle w:val="Compact"/>
              <w:jc w:val="left"/>
            </w:pPr>
            <w:r>
              <w:t xml:space="preserve">VC6MaxNoOfEchelons</w:t>
            </w:r>
          </w:p>
        </w:tc>
        <w:tc>
          <w:p>
            <w:pPr>
              <w:pStyle w:val="Compact"/>
              <w:jc w:val="left"/>
            </w:pPr>
            <w:r>
              <w:t xml:space="preserve">Elements.LEAF</w:t>
            </w:r>
          </w:p>
        </w:tc>
        <w:tc>
          <w:p>
            <w:pPr>
              <w:pStyle w:val="Compact"/>
              <w:jc w:val="left"/>
            </w:pPr>
            <w:r>
              <w:t xml:space="preserve">urn:smpte:ul:060e2b34.0101010e.0401060d.08000000</w:t>
            </w:r>
          </w:p>
        </w:tc>
      </w:tr>
      <w:tr>
        <w:tc>
          <w:p>
            <w:pPr>
              <w:pStyle w:val="Compact"/>
              <w:jc w:val="left"/>
            </w:pPr>
            <w:r>
              <w:t xml:space="preserve">VC6EchelonVector</w:t>
            </w:r>
          </w:p>
        </w:tc>
        <w:tc>
          <w:p>
            <w:pPr>
              <w:pStyle w:val="Compact"/>
              <w:jc w:val="left"/>
            </w:pPr>
            <w:r>
              <w:t xml:space="preserve">Elements.LEAF</w:t>
            </w:r>
          </w:p>
        </w:tc>
        <w:tc>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0"/>
        <w:tblLook w:firstRow="1" w:lastRow="0" w:firstColumn="0" w:lastColumn="0" w:noHBand="0" w:noVBand="0"/>
      </w:tblPr>
      <w:tblGrid>
        <w:gridCol w:w="1329"/>
        <w:gridCol w:w="2254"/>
        <w:gridCol w:w="2023"/>
        <w:gridCol w:w="2312"/>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VC6SubDescriptor</w:t>
            </w:r>
          </w:p>
        </w:tc>
        <w:tc>
          <w:p>
            <w:pPr>
              <w:pStyle w:val="Compact"/>
              <w:jc w:val="left"/>
            </w:pPr>
            <w:r>
              <w:t xml:space="preserve">Set UL</w:t>
            </w:r>
          </w:p>
        </w:tc>
        <w:tc>
          <w:p>
            <w:pPr>
              <w:pStyle w:val="Compact"/>
              <w:jc w:val="left"/>
            </w:pPr>
            <w:r>
              <w:t xml:space="preserve">16</w:t>
            </w:r>
          </w:p>
        </w:tc>
        <w:tc>
          <w:p>
            <w:pPr>
              <w:pStyle w:val="Compact"/>
              <w:jc w:val="left"/>
            </w:pPr>
            <w:r>
              <w:t xml:space="preserve">ST 2117 VC6 Sub-Descriptor</w:t>
            </w:r>
          </w:p>
        </w:tc>
      </w:tr>
      <w:tr>
        <w:tc>
          <w:p>
            <w:pPr>
              <w:pStyle w:val="Compact"/>
              <w:jc w:val="left"/>
            </w:pPr>
            <w:r>
              <w:t xml:space="preserve">VC6GCUpsamplersBatch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UInt8 Upsampler Indices used in the Generic Container</w:t>
            </w:r>
          </w:p>
        </w:tc>
      </w:tr>
      <w:tr>
        <w:tc>
          <w:p>
            <w:pPr>
              <w:pStyle w:val="Compact"/>
              <w:jc w:val="left"/>
            </w:pPr>
            <w:r>
              <w:t xml:space="preserve">VC6ShortcutVectorsBatch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unique UInt16 ShortcutVector values used in the Generic Container</w:t>
            </w:r>
          </w:p>
        </w:tc>
      </w:tr>
      <w:tr>
        <w:tc>
          <w:p>
            <w:pPr>
              <w:pStyle w:val="Compact"/>
              <w:jc w:val="left"/>
            </w:pPr>
            <w:r>
              <w:t xml:space="preserve">VC6Lossless</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created a lossless bitstream</w:t>
            </w:r>
          </w:p>
        </w:tc>
      </w:tr>
      <w:tr>
        <w:tc>
          <w:p>
            <w:pPr>
              <w:pStyle w:val="Compact"/>
              <w:jc w:val="left"/>
            </w:pPr>
            <w:r>
              <w:t xml:space="preserve">VC6CBR</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intended a constant bitrate stream</w:t>
            </w:r>
          </w:p>
        </w:tc>
      </w:tr>
      <w:tr>
        <w:tc>
          <w:p>
            <w:pPr>
              <w:pStyle w:val="Compact"/>
              <w:jc w:val="left"/>
            </w:pPr>
            <w:r>
              <w:t xml:space="preserve">VC6Bitrate</w:t>
            </w:r>
          </w:p>
        </w:tc>
        <w:tc>
          <w:p>
            <w:pPr>
              <w:pStyle w:val="Compact"/>
              <w:jc w:val="left"/>
            </w:pPr>
            <w:r>
              <w:t xml:space="preserve">UInt64</w:t>
            </w:r>
          </w:p>
        </w:tc>
        <w:tc>
          <w:p>
            <w:pPr>
              <w:pStyle w:val="Compact"/>
              <w:jc w:val="left"/>
            </w:pPr>
            <w:r>
              <w:t xml:space="preserve">8</w:t>
            </w:r>
          </w:p>
        </w:tc>
        <w:tc>
          <w:p>
            <w:pPr>
              <w:pStyle w:val="Compact"/>
              <w:jc w:val="left"/>
            </w:pPr>
            <w:r>
              <w:t xml:space="preserve">Target CBR bitrate or Maximum VBR bitrate in bits per second</w:t>
            </w:r>
          </w:p>
        </w:tc>
      </w:tr>
      <w:tr>
        <w:tc>
          <w:p>
            <w:pPr>
              <w:pStyle w:val="Compact"/>
              <w:jc w:val="left"/>
            </w:pPr>
            <w:r>
              <w:t xml:space="preserve">VC6CompressedFrameMax</w:t>
            </w:r>
          </w:p>
        </w:tc>
        <w:tc>
          <w:p>
            <w:pPr>
              <w:pStyle w:val="Compact"/>
              <w:jc w:val="left"/>
            </w:pPr>
            <w:r>
              <w:t xml:space="preserve">UInt64</w:t>
            </w:r>
          </w:p>
        </w:tc>
        <w:tc>
          <w:p>
            <w:pPr>
              <w:pStyle w:val="Compact"/>
              <w:jc w:val="left"/>
            </w:pPr>
            <w:r>
              <w:t xml:space="preserve">8</w:t>
            </w:r>
          </w:p>
        </w:tc>
        <w:tc>
          <w:p>
            <w:pPr>
              <w:pStyle w:val="Compact"/>
              <w:jc w:val="left"/>
            </w:pPr>
            <w:r>
              <w:t xml:space="preserve">Maximum Size in bits of a Compressed Frame in the Generic Container</w:t>
            </w:r>
          </w:p>
        </w:tc>
      </w:tr>
      <w:tr>
        <w:tc>
          <w:p>
            <w:pPr>
              <w:pStyle w:val="Compact"/>
              <w:jc w:val="left"/>
            </w:pPr>
            <w:r>
              <w:t xml:space="preserve">VC6CompressedFrameAvg</w:t>
            </w:r>
          </w:p>
        </w:tc>
        <w:tc>
          <w:p>
            <w:pPr>
              <w:pStyle w:val="Compact"/>
              <w:jc w:val="left"/>
            </w:pPr>
            <w:r>
              <w:t xml:space="preserve">UInt64</w:t>
            </w:r>
          </w:p>
        </w:tc>
        <w:tc>
          <w:p>
            <w:pPr>
              <w:pStyle w:val="Compact"/>
              <w:jc w:val="left"/>
            </w:pPr>
            <w:r>
              <w:t xml:space="preserve">8</w:t>
            </w:r>
          </w:p>
        </w:tc>
        <w:tc>
          <w:p>
            <w:pPr>
              <w:pStyle w:val="Compact"/>
              <w:jc w:val="left"/>
            </w:pPr>
            <w:r>
              <w:t xml:space="preserve">Average Size in bits of a Compressed Frame in the Generic Container</w:t>
            </w:r>
          </w:p>
        </w:tc>
      </w:tr>
      <w:tr>
        <w:tc>
          <w:p>
            <w:pPr>
              <w:pStyle w:val="Compact"/>
              <w:jc w:val="left"/>
            </w:pPr>
            <w:r>
              <w:t xml:space="preserve">VC6MaxNoOfEchelons</w:t>
            </w:r>
          </w:p>
        </w:tc>
        <w:tc>
          <w:p>
            <w:pPr>
              <w:pStyle w:val="Compact"/>
              <w:jc w:val="left"/>
            </w:pPr>
            <w:r>
              <w:t xml:space="preserve">UInt8</w:t>
            </w:r>
          </w:p>
        </w:tc>
        <w:tc>
          <w:p>
            <w:pPr>
              <w:pStyle w:val="Compact"/>
              <w:jc w:val="left"/>
            </w:pPr>
            <w:r>
              <w:t xml:space="preserve">1</w:t>
            </w:r>
          </w:p>
        </w:tc>
        <w:tc>
          <w:p>
            <w:pPr>
              <w:pStyle w:val="Compact"/>
              <w:jc w:val="left"/>
            </w:pPr>
            <w:r>
              <w:t xml:space="preserve">Maximum Number of Echelons in any Frame in the Generic Container</w:t>
            </w:r>
          </w:p>
        </w:tc>
      </w:tr>
      <w:tr>
        <w:tc>
          <w:p>
            <w:pPr>
              <w:pStyle w:val="Compact"/>
              <w:jc w:val="left"/>
            </w:pPr>
            <w:r>
              <w:t xml:space="preserve">VC6EchelonVector</w:t>
            </w:r>
          </w:p>
        </w:tc>
        <w:tc>
          <w:p>
            <w:pPr>
              <w:pStyle w:val="Compact"/>
              <w:jc w:val="left"/>
            </w:pPr>
            <w:r>
              <w:t xml:space="preserve">Array of Strong Ref</w:t>
            </w:r>
          </w:p>
        </w:tc>
        <w:tc>
          <w:p>
            <w:pPr>
              <w:pStyle w:val="Compact"/>
              <w:jc w:val="left"/>
            </w:pPr>
            <w:r>
              <w:t xml:space="preserve">8 + 16n</w:t>
            </w:r>
          </w:p>
        </w:tc>
        <w:tc>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practice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0"/>
        <w:tblLook w:firstRow="1" w:lastRow="0" w:firstColumn="0" w:lastColumn="0" w:noHBand="0" w:noVBand="0"/>
      </w:tblPr>
      <w:tblGrid>
        <w:gridCol w:w="1340"/>
        <w:gridCol w:w="2193"/>
        <w:gridCol w:w="1949"/>
        <w:gridCol w:w="2436"/>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VC6EchelonProperties</w:t>
            </w:r>
          </w:p>
        </w:tc>
        <w:tc>
          <w:p>
            <w:pPr>
              <w:pStyle w:val="Compact"/>
              <w:jc w:val="left"/>
            </w:pPr>
            <w:r>
              <w:t xml:space="preserve">Set UL</w:t>
            </w:r>
          </w:p>
        </w:tc>
        <w:tc>
          <w:p>
            <w:pPr>
              <w:pStyle w:val="Compact"/>
              <w:jc w:val="left"/>
            </w:pPr>
            <w:r>
              <w:t xml:space="preserve">16</w:t>
            </w:r>
          </w:p>
        </w:tc>
        <w:tc>
          <w:p>
            <w:pPr>
              <w:pStyle w:val="Compact"/>
              <w:jc w:val="left"/>
            </w:pPr>
            <w:r>
              <w:t xml:space="preserve">Property identifiers for and Echelon in a VC-6 bitstream</w:t>
            </w:r>
          </w:p>
        </w:tc>
      </w:tr>
      <w:tr>
        <w:tc>
          <w:p>
            <w:pPr>
              <w:pStyle w:val="Compact"/>
              <w:jc w:val="left"/>
            </w:pPr>
            <w:r>
              <w:t xml:space="preserve">VC6EchelonIndex</w:t>
            </w:r>
          </w:p>
        </w:tc>
        <w:tc>
          <w:p>
            <w:pPr>
              <w:pStyle w:val="Compact"/>
              <w:jc w:val="left"/>
            </w:pPr>
            <w:r>
              <w:t xml:space="preserve">UInt32</w:t>
            </w:r>
          </w:p>
        </w:tc>
        <w:tc>
          <w:p>
            <w:pPr>
              <w:pStyle w:val="Compact"/>
              <w:jc w:val="left"/>
            </w:pPr>
            <w:r>
              <w:t xml:space="preserve">4</w:t>
            </w:r>
          </w:p>
        </w:tc>
        <w:tc>
          <w:p>
            <w:pPr>
              <w:pStyle w:val="Compact"/>
              <w:jc w:val="left"/>
            </w:pPr>
            <w:r>
              <w:t xml:space="preserve">[Req] Signed Index of this Echelon as identified in ST 2117-1:2020 §4.8.9</w:t>
            </w:r>
          </w:p>
        </w:tc>
      </w:tr>
      <w:tr>
        <w:tc>
          <w:p>
            <w:pPr>
              <w:pStyle w:val="Compact"/>
              <w:jc w:val="left"/>
            </w:pPr>
            <w:r>
              <w:t xml:space="preserve">VC6SampledHeight</w:t>
            </w:r>
          </w:p>
        </w:tc>
        <w:tc>
          <w:p>
            <w:pPr>
              <w:pStyle w:val="Compact"/>
              <w:jc w:val="left"/>
            </w:pPr>
            <w:r>
              <w:t xml:space="preserve">UInt32</w:t>
            </w:r>
          </w:p>
        </w:tc>
        <w:tc>
          <w:p>
            <w:pPr>
              <w:pStyle w:val="Compact"/>
              <w:jc w:val="left"/>
            </w:pPr>
            <w:r>
              <w:t xml:space="preserve">4</w:t>
            </w:r>
          </w:p>
        </w:tc>
        <w:tc>
          <w:p>
            <w:pPr>
              <w:pStyle w:val="Compact"/>
              <w:jc w:val="left"/>
            </w:pPr>
            <w:r>
              <w:t xml:space="preserve">[Req] Sampled Height of the reconstructed pixel grid for the echelon</w:t>
            </w:r>
          </w:p>
        </w:tc>
      </w:tr>
      <w:tr>
        <w:tc>
          <w:p>
            <w:pPr>
              <w:pStyle w:val="Compact"/>
              <w:jc w:val="left"/>
            </w:pPr>
            <w:r>
              <w:t xml:space="preserve">VC6SampledWidth</w:t>
            </w:r>
          </w:p>
        </w:tc>
        <w:tc>
          <w:p>
            <w:pPr>
              <w:pStyle w:val="Compact"/>
              <w:jc w:val="left"/>
            </w:pPr>
            <w:r>
              <w:t xml:space="preserve">UInt32</w:t>
            </w:r>
          </w:p>
        </w:tc>
        <w:tc>
          <w:p>
            <w:pPr>
              <w:pStyle w:val="Compact"/>
              <w:jc w:val="left"/>
            </w:pPr>
            <w:r>
              <w:t xml:space="preserve">4</w:t>
            </w:r>
          </w:p>
        </w:tc>
        <w:tc>
          <w:p>
            <w:pPr>
              <w:pStyle w:val="Compact"/>
              <w:jc w:val="left"/>
            </w:pPr>
            <w:r>
              <w:t xml:space="preserve">[Req] Sampled Width of the reconstructed pixel grid for the echelon</w:t>
            </w:r>
          </w:p>
        </w:tc>
      </w:tr>
    </w:tbl>
    <w:p>
      <w:pPr>
        <w:pStyle w:val="Heading1"/>
      </w:pPr>
      <w:bookmarkStart w:id="42" w:name="application-issues"/>
      <w:r>
        <w:t xml:space="preserve">9 Application Issues</w:t>
      </w:r>
      <w:bookmarkEnd w:id="42"/>
    </w:p>
    <w:p>
      <w:pPr>
        <w:pStyle w:val="Heading2"/>
      </w:pPr>
      <w:bookmarkStart w:id="43" w:name="application-of-the-kag"/>
      <w:r>
        <w:t xml:space="preserve">9.1 Application of the KAG</w:t>
      </w:r>
      <w:bookmarkEnd w:id="43"/>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p>
      <w:pPr>
        <w:pStyle w:val="Heading2"/>
      </w:pPr>
      <w:bookmarkStart w:id="44" w:name="index-tables-and-the-fill-item"/>
      <w:r>
        <w:t xml:space="preserve">9.2 Index Tables and the Fill Item</w:t>
      </w:r>
      <w:bookmarkEnd w:id="44"/>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p>
      <w:pPr>
        <w:pStyle w:val="Heading2"/>
      </w:pPr>
      <w:bookmarkStart w:id="45" w:name="operational-pattern-usage"/>
      <w:r>
        <w:t xml:space="preserve">9.3 Operational Pattern Usage</w:t>
      </w:r>
      <w:bookmarkEnd w:id="45"/>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p>
      <w:pPr>
        <w:pStyle w:val="Heading2"/>
      </w:pPr>
      <w:bookmarkStart w:id="46" w:name="X2d65a1b42fd703a23e7f54df76e959621dd4e73"/>
      <w:r>
        <w:t xml:space="preserve">9.4 Mapping Track Numbers to Generic Container Elements</w:t>
      </w:r>
      <w:bookmarkEnd w:id="46"/>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p>
      <w:pPr>
        <w:pStyle w:val="Heading2"/>
      </w:pPr>
      <w:bookmarkStart w:id="47" w:name="essence-container-partitions"/>
      <w:r>
        <w:t xml:space="preserve">9.5 Essence Container Partitions</w:t>
      </w:r>
      <w:bookmarkEnd w:id="47"/>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p>
      <w:pPr>
        <w:pStyle w:val="Heading2"/>
      </w:pPr>
      <w:bookmarkStart w:id="48" w:name="mxf-header-metadata-property-values"/>
      <w:r>
        <w:t xml:space="preserve">9.6 MXF Header Metadata Property Values</w:t>
      </w:r>
      <w:bookmarkEnd w:id="48"/>
    </w:p>
    <w:p>
      <w:pPr>
        <w:pStyle w:val="FirstParagraph"/>
      </w:pPr>
      <w:r>
        <w:t xml:space="preserve">The following restrictions apply to Picture Stream wrapped with this standard</w:t>
      </w:r>
    </w:p>
    <w:tbl>
      <w:tblPr>
        <w:tblStyle w:val="Table"/>
        <w:tblW w:type="pct" w:w="5000.0"/>
        <w:tblLook w:firstRow="1" w:lastRow="0" w:firstColumn="0" w:lastColumn="0" w:noHBand="0" w:noVBand="0"/>
      </w:tblPr>
      <w:tblGrid>
        <w:gridCol w:w="3553"/>
        <w:gridCol w:w="2233"/>
        <w:gridCol w:w="213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Progressive Pictures</w:t>
            </w:r>
          </w:p>
        </w:tc>
        <w:tc>
          <w:tcPr>
            <w:tcBorders>
              <w:bottom w:val="single"/>
            </w:tcBorders>
            <w:vAlign w:val="bottom"/>
          </w:tcPr>
          <w:p>
            <w:pPr>
              <w:pStyle w:val="Compact"/>
              <w:jc w:val="left"/>
            </w:pPr>
            <w:r>
              <w:t xml:space="preserve">Interlaced Pictures</w:t>
            </w:r>
          </w:p>
        </w:tc>
      </w:tr>
      <w:tr>
        <w:tc>
          <w:p>
            <w:pPr>
              <w:pStyle w:val="Compact"/>
              <w:jc w:val="left"/>
            </w:pPr>
            <w:r>
              <w:t xml:space="preserve">Bitstreams per KLV Element</w:t>
            </w:r>
          </w:p>
        </w:tc>
        <w:tc>
          <w:p>
            <w:pPr>
              <w:pStyle w:val="Compact"/>
              <w:jc w:val="left"/>
            </w:pPr>
            <w:r>
              <w:t xml:space="preserve">1</w:t>
            </w:r>
          </w:p>
        </w:tc>
        <w:tc>
          <w:p>
            <w:pPr>
              <w:pStyle w:val="Compact"/>
              <w:jc w:val="left"/>
            </w:pPr>
            <w:r>
              <w:t xml:space="preserve">2</w:t>
            </w:r>
          </w:p>
        </w:tc>
      </w:tr>
      <w:tr>
        <w:tc>
          <w:p>
            <w:pPr>
              <w:pStyle w:val="Compact"/>
              <w:jc w:val="left"/>
            </w:pPr>
            <w:r>
              <w:t xml:space="preserve">Frame Layout (ST 377-1 §G.2.1)</w:t>
            </w:r>
          </w:p>
        </w:tc>
        <w:tc>
          <w:p>
            <w:pPr>
              <w:pStyle w:val="Compact"/>
              <w:jc w:val="left"/>
            </w:pPr>
            <w:r>
              <w:t xml:space="preserve">0 (full_frame)</w:t>
            </w:r>
          </w:p>
        </w:tc>
        <w:tc>
          <w:p>
            <w:pPr>
              <w:pStyle w:val="Compact"/>
              <w:jc w:val="left"/>
            </w:pPr>
            <w:r>
              <w:t xml:space="preserve">1 (separate_fields) or 4 (segmented_frame)</w:t>
            </w:r>
          </w:p>
        </w:tc>
      </w:tr>
      <w:tr>
        <w:tc>
          <w:p>
            <w:pPr>
              <w:pStyle w:val="Compact"/>
              <w:jc w:val="left"/>
            </w:pPr>
            <w:r>
              <w:t xml:space="preserve">Sample Rate (ST 377-1 §G.2.2)</w:t>
            </w:r>
          </w:p>
        </w:tc>
        <w:tc>
          <w:p>
            <w:pPr>
              <w:pStyle w:val="Compact"/>
              <w:jc w:val="left"/>
            </w:pPr>
            <w:r>
              <w:t xml:space="preserve">Frame</w:t>
            </w:r>
          </w:p>
        </w:tc>
        <w:tc>
          <w:p>
            <w:pPr>
              <w:pStyle w:val="Compact"/>
              <w:jc w:val="left"/>
            </w:pPr>
            <w:r>
              <w:t xml:space="preserve">Frame</w:t>
            </w:r>
          </w:p>
        </w:tc>
      </w:tr>
      <w:tr>
        <w:tc>
          <w:p>
            <w:pPr>
              <w:pStyle w:val="Compact"/>
              <w:jc w:val="left"/>
            </w:pPr>
            <w:r>
              <w:t xml:space="preserve">Edit Rate (ST 377-1 §B.12)</w:t>
            </w:r>
          </w:p>
        </w:tc>
        <w:tc>
          <w:p>
            <w:pPr>
              <w:pStyle w:val="Compact"/>
              <w:jc w:val="left"/>
            </w:pPr>
            <w:r>
              <w:t xml:space="preserve">Frame</w:t>
            </w:r>
          </w:p>
        </w:tc>
        <w:tc>
          <w:p>
            <w:pPr>
              <w:pStyle w:val="Compact"/>
              <w:jc w:val="left"/>
            </w:pPr>
            <w:r>
              <w:t xml:space="preserve">Frame</w:t>
            </w:r>
          </w:p>
        </w:tc>
      </w:tr>
      <w:tr>
        <w:tc>
          <w:p>
            <w:pPr>
              <w:pStyle w:val="Compact"/>
              <w:jc w:val="left"/>
            </w:pPr>
            <w:r>
              <w:t xml:space="preserve">Index Edit Rate (ST 377-1 §11.2.3)</w:t>
            </w:r>
          </w:p>
        </w:tc>
        <w:tc>
          <w:p>
            <w:pPr>
              <w:pStyle w:val="Compact"/>
              <w:jc w:val="left"/>
            </w:pPr>
            <w:r>
              <w:t xml:space="preserve">Frame</w:t>
            </w:r>
          </w:p>
        </w:tc>
        <w:tc>
          <w:p>
            <w:pPr>
              <w:pStyle w:val="Compact"/>
              <w:jc w:val="left"/>
            </w:pPr>
            <w:r>
              <w:t xml:space="preserve">Frame</w:t>
            </w:r>
          </w:p>
        </w:tc>
      </w:tr>
      <w:tr>
        <w:tc>
          <w:p>
            <w:pPr>
              <w:pStyle w:val="Compact"/>
              <w:jc w:val="left"/>
            </w:pPr>
            <w:r>
              <w:t xml:space="preserve">Aspect Ratio (ST 377-1 §G.2.4)</w:t>
            </w:r>
          </w:p>
        </w:tc>
        <w:tc>
          <w:p>
            <w:pPr>
              <w:pStyle w:val="Compact"/>
              <w:jc w:val="left"/>
            </w:pPr>
            <w:r>
              <w:t xml:space="preserve">Frame</w:t>
            </w:r>
          </w:p>
        </w:tc>
        <w:tc>
          <w:p>
            <w:pPr>
              <w:pStyle w:val="Compact"/>
              <w:jc w:val="left"/>
            </w:pPr>
            <w:r>
              <w:t xml:space="preserve">Frame</w:t>
            </w:r>
          </w:p>
        </w:tc>
      </w:tr>
    </w:tbl>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
        </w:rPr>
        <w:t xml:space="preserve">YOU MUST</w:t>
      </w:r>
      <w:r>
        <w:t xml:space="preserve"> </w:t>
      </w:r>
      <w:r>
        <w:t xml:space="preserve">make</w:t>
      </w:r>
      <w:r>
        <w:t xml:space="preserve"> </w:t>
      </w:r>
      <w:r>
        <w:t xml:space="preserve">Home Office aware, otherwise the styles may be lost during the Home Office pubishing process.</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2021-03-30T10:55:57Z</dcterms:created>
  <dcterms:modified xsi:type="dcterms:W3CDTF">2021-03-30T10:55:57Z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