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ST 2117-10:202x</w:t>
      </w:r>
    </w:p>
    <w:p>
      <w:pPr>
        <w:pStyle w:val="smpte-eng-doc-type"/>
      </w:pPr>
      <w:r>
        <w:t xml:space="preserve">SMPTE STANDARD</w:t>
      </w:r>
    </w:p>
    <w:p>
      <w:pPr>
        <w:pStyle w:val="smpte-eng-doc-title"/>
      </w:pPr>
      <w:r>
        <w:t xml:space="preserve">Mapping VC-6 into the MXF Generic Container</w:t>
      </w:r>
    </w:p>
    <w:p>
      <w:pPr>
        <w:pStyle w:val="Heading1"/>
      </w:pPr>
      <w:bookmarkStart w:id="20" w:name="foreword"/>
      <w:r>
        <w:t xml:space="preserve">Foreword</w:t>
      </w:r>
      <w:bookmarkEnd w:id="20"/>
    </w:p>
    <w:p>
      <w:pPr>
        <w:pStyle w:val="FirstParagraph"/>
      </w:pPr>
      <w: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t xml:space="preserve">“</w:t>
      </w:r>
      <w:r>
        <w:t xml:space="preserve">s Engineering Documents, including Standards, Recommended Practices, and Engineering Guidelines, are prepared by SMPTE</w:t>
      </w:r>
      <w:r>
        <w:t xml:space="preserve">”</w:t>
      </w:r>
      <w:r>
        <w:t xml:space="preserve">s Technology Committees. Participation in these Committees is open to all with a bona fide interest in their work. SMPTE cooperates closely with other standards-developing organizations, including ISO, IEC and ITU.</w:t>
      </w:r>
    </w:p>
    <w:p>
      <w:pPr>
        <w:pStyle w:val="BodyText"/>
      </w:pPr>
      <w: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BodyText"/>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BodyText"/>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BodyText"/>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p>
    <w:p>
      <w:pPr>
        <w:pStyle w:val="BodyText"/>
      </w:pP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BodyText"/>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BodyText"/>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w:t>
      </w:r>
    </w:p>
    <w:p>
      <w:pPr>
        <w:pStyle w:val="BodyText"/>
      </w:pPr>
      <w:r>
        <w:t xml:space="preserve">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r>
        <w:t xml:space="preserve"> </w:t>
      </w: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p>
    <w:p>
      <w:pPr>
        <w:pStyle w:val="BodyText"/>
      </w:pP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BodyText"/>
      </w:pPr>
      <w:r>
        <w:t xml:space="preserve"> </w:t>
      </w:r>
    </w:p>
    <w:p>
      <w:pPr>
        <w:pStyle w:val="Heading1"/>
      </w:pPr>
      <w:bookmarkStart w:id="21" w:name="introduction"/>
      <w:r>
        <w:t xml:space="preserve">Introduction</w:t>
      </w:r>
      <w:bookmarkEnd w:id="21"/>
    </w:p>
    <w:p>
      <w:pPr>
        <w:pStyle w:val="FirstParagraph"/>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FirstParagraph"/>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1"/>
        </w:numPr>
        <w:pStyle w:val="Compact"/>
      </w:pPr>
      <w:r>
        <w:t xml:space="preserve">It is easy to handle because of a simple structure</w:t>
      </w:r>
    </w:p>
    <w:p>
      <w:pPr>
        <w:numPr>
          <w:ilvl w:val="0"/>
          <w:numId w:val="1001"/>
        </w:numPr>
        <w:pStyle w:val="Compact"/>
      </w:pPr>
      <w:r>
        <w:t xml:space="preserve">It is easy to edit while file transferring</w:t>
      </w:r>
    </w:p>
    <w:p>
      <w:pPr>
        <w:numPr>
          <w:ilvl w:val="0"/>
          <w:numId w:val="1001"/>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2"/>
        </w:numPr>
        <w:pStyle w:val="Compact"/>
      </w:pPr>
      <w:r>
        <w:t xml:space="preserve">Index Table Segment::Single Index Location TRUE (Single Location)</w:t>
      </w:r>
    </w:p>
    <w:p>
      <w:pPr>
        <w:numPr>
          <w:ilvl w:val="0"/>
          <w:numId w:val="1002"/>
        </w:numPr>
        <w:pStyle w:val="Compact"/>
      </w:pPr>
      <w:r>
        <w:t xml:space="preserve">Index Table Segment::Single Location TRUE (Single Location)</w:t>
      </w:r>
    </w:p>
    <w:p>
      <w:pPr>
        <w:numPr>
          <w:ilvl w:val="0"/>
          <w:numId w:val="1002"/>
        </w:numPr>
        <w:pStyle w:val="Compact"/>
      </w:pPr>
      <w:r>
        <w:t xml:space="preserve">Index Table Segment::Forward Index Direction TRUE (Forward)</w:t>
      </w:r>
    </w:p>
    <w:p>
      <w:pPr>
        <w:numPr>
          <w:ilvl w:val="0"/>
          <w:numId w:val="1002"/>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3"/>
        </w:numPr>
        <w:pStyle w:val="Compact"/>
      </w:pPr>
      <w:r>
        <w:t xml:space="preserve">It is only necessary to include one Index Table Segment for each Body Partition period on the sender side</w:t>
      </w:r>
    </w:p>
    <w:p>
      <w:pPr>
        <w:numPr>
          <w:ilvl w:val="0"/>
          <w:numId w:val="1003"/>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3"/>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4"/>
        </w:numPr>
        <w:pStyle w:val="Compact"/>
      </w:pPr>
      <w:r>
        <w:t xml:space="preserve">Index Table Segment::Single Index Location FALSE (Distributed Location)</w:t>
      </w:r>
    </w:p>
    <w:p>
      <w:pPr>
        <w:numPr>
          <w:ilvl w:val="0"/>
          <w:numId w:val="1004"/>
        </w:numPr>
        <w:pStyle w:val="Compact"/>
      </w:pPr>
      <w:r>
        <w:t xml:space="preserve">Index Table Segment::Single Essence Location FALSE (Distributed Location)</w:t>
      </w:r>
    </w:p>
    <w:p>
      <w:pPr>
        <w:numPr>
          <w:ilvl w:val="0"/>
          <w:numId w:val="1004"/>
        </w:numPr>
        <w:pStyle w:val="Compact"/>
      </w:pPr>
      <w:r>
        <w:t xml:space="preserve">Index Table Segment::Forward Index Direction FALSE (Backward)</w:t>
      </w:r>
    </w:p>
    <w:p>
      <w:pPr>
        <w:numPr>
          <w:ilvl w:val="0"/>
          <w:numId w:val="1004"/>
        </w:numPr>
        <w:pStyle w:val="Compact"/>
      </w:pPr>
      <w:r>
        <w:t xml:space="preserve">Preface:: is RIP present TRUE</w:t>
      </w:r>
    </w:p>
    <w:p>
      <w:pPr>
        <w:numPr>
          <w:ilvl w:val="0"/>
          <w:numId w:val="1004"/>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urn:smpte:ul:060e2b34.0401010d.0d010301.02210100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ST 2117 Sub Descriptor Key</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practise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VC6EchelonProperties Key</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2021-03-18T19:16:03Z</dcterms:created>
  <dcterms:modified xsi:type="dcterms:W3CDTF">2021-03-18T19:16:03Z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