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2117-10:202x</w:t>
      </w:r>
    </w:p>
    <w:p>
      <w:pPr>
        <w:pStyle w:val="smpte-eng-doc-type"/>
      </w:pPr>
      <w:r>
        <w:t xml:space="preserve">SMPTE STANDARD</w:t>
      </w:r>
    </w:p>
    <w:p>
      <w:pPr>
        <w:pStyle w:val="smpte-eng-doc-title"/>
      </w:pPr>
      <w:r>
        <w:t xml:space="preserve">Mapping VC-6 into the MXF Generic Container</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3"/>
        </w:numPr>
        <w:pStyle w:val="Compact"/>
      </w:pPr>
      <w:r>
        <w:t xml:space="preserve">It is only necessary to include one Index Table Segment for each Body Partition period on the sender side</w:t>
      </w:r>
    </w:p>
    <w:p>
      <w:pPr>
        <w:numPr>
          <w:ilvl w:val="0"/>
          <w:numId w:val="1003"/>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3"/>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4"/>
        </w:numPr>
        <w:pStyle w:val="Compact"/>
      </w:pPr>
      <w:r>
        <w:t xml:space="preserve">Index Table Segment::Single Index Location FALSE (Distributed Location)</w:t>
      </w:r>
    </w:p>
    <w:p>
      <w:pPr>
        <w:numPr>
          <w:ilvl w:val="0"/>
          <w:numId w:val="1004"/>
        </w:numPr>
        <w:pStyle w:val="Compact"/>
      </w:pPr>
      <w:r>
        <w:t xml:space="preserve">Index Table Segment::Single Essence Location FALSE (Distributed Location)</w:t>
      </w:r>
    </w:p>
    <w:p>
      <w:pPr>
        <w:numPr>
          <w:ilvl w:val="0"/>
          <w:numId w:val="1004"/>
        </w:numPr>
        <w:pStyle w:val="Compact"/>
      </w:pPr>
      <w:r>
        <w:t xml:space="preserve">Index Table Segment::Forward Index Direction FALSE (Backward)</w:t>
      </w:r>
    </w:p>
    <w:p>
      <w:pPr>
        <w:numPr>
          <w:ilvl w:val="0"/>
          <w:numId w:val="1004"/>
        </w:numPr>
        <w:pStyle w:val="Compact"/>
      </w:pPr>
      <w:r>
        <w:t xml:space="preserve">Preface:: is RIP present TRUE</w:t>
      </w:r>
    </w:p>
    <w:p>
      <w:pPr>
        <w:numPr>
          <w:ilvl w:val="0"/>
          <w:numId w:val="1004"/>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ST 2117 Sub Descriptor Key</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practise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VC6EchelonProperties Key</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2021-03-22T14:38:15Z</dcterms:created>
  <dcterms:modified xsi:type="dcterms:W3CDTF">2021-03-22T14:38:15Z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