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8.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eng-doc-top"/>
      </w:pPr>
      <w:r>
        <w:rPr>
          <w:b/>
        </w:rPr>
        <w:t xml:space="preserve">SMPTE AG-04-ST:2020</w:t>
      </w:r>
    </w:p>
    <w:p>
      <w:pPr>
        <w:pStyle w:val="smpte-eng-doc-type"/>
      </w:pPr>
      <w:r>
        <w:t xml:space="preserve">Administrative Guideline</w:t>
      </w:r>
    </w:p>
    <w:p>
      <w:pPr>
        <w:pStyle w:val="smpte-eng-doc-title"/>
      </w:pPr>
      <w:r>
        <w:t xml:space="preserve">Standards Template (for Drafts)</w:t>
      </w:r>
    </w:p>
    <w:p>
      <w:pPr>
        <w:pStyle w:val="Heading1"/>
      </w:pPr>
      <w:bookmarkStart w:id="20" w:name="foreword"/>
      <w:r>
        <w:t xml:space="preserve">Foreword</w:t>
      </w:r>
      <w:bookmarkEnd w:id="20"/>
    </w:p>
    <w:p>
      <w:pPr>
        <w:pStyle w:val="FirstParagraph"/>
      </w:pPr>
      <w:r>
        <w:t xml:space="preserve">Warning</w:t>
      </w:r>
    </w:p>
    <w:p>
      <w:pPr>
        <w:pStyle w:val="BodyText"/>
      </w:pPr>
      <w:r>
        <w:rPr>
          <w:i/>
        </w:rP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BodyText"/>
      </w:pPr>
    </w:p>
    <w:p>
      <w:pPr>
        <w:pStyle w:val="Heading1"/>
      </w:pPr>
      <w:bookmarkStart w:id="21" w:name="introduction"/>
      <w:r>
        <w:t xml:space="preserve">Introduction</w:t>
      </w:r>
      <w:bookmarkEnd w:id="21"/>
    </w:p>
    <w:p>
      <w:pPr>
        <w:pStyle w:val="FirstParagraph"/>
      </w:pPr>
      <w:r>
        <w:t xml:space="preserve">Your introduction text goes here.</w:t>
      </w:r>
    </w:p>
    <w:p>
      <w:pPr>
        <w:pStyle w:val="BodyText"/>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FirstParagraph"/>
      </w:pPr>
      <w:r>
        <w:t xml:space="preserve">Your Scope Text</w:t>
      </w:r>
    </w:p>
    <w:p>
      <w:pPr>
        <w:pStyle w:val="Heading1"/>
      </w:pPr>
      <w:bookmarkStart w:id="23" w:name="normative-references"/>
      <w:r>
        <w:t xml:space="preserve">2 Normative References</w:t>
      </w:r>
      <w:bookmarkEnd w:id="23"/>
    </w:p>
    <w:p>
      <w:pPr>
        <w:pStyle w:val="FirstParagraph"/>
      </w:pPr>
      <w:r>
        <w:t xml:space="preserve">Your Normative References</w:t>
      </w:r>
    </w:p>
    <w:p>
      <w:pPr>
        <w:pStyle w:val="Heading1"/>
      </w:pPr>
      <w:bookmarkStart w:id="24" w:name="terms-and-definitions"/>
      <w:r>
        <w:t xml:space="preserve">3 Terms and Definitions</w:t>
      </w:r>
      <w:bookmarkEnd w:id="24"/>
    </w:p>
    <w:p>
      <w:pPr>
        <w:pStyle w:val="FirstParagraph"/>
      </w:pPr>
      <w:r>
        <w:t xml:space="preserve">Your Terms and Definitions</w:t>
      </w:r>
    </w:p>
    <w:p>
      <w:pPr>
        <w:pStyle w:val="Heading1"/>
      </w:pPr>
      <w:bookmarkStart w:id="25" w:name="technical-content"/>
      <w:r>
        <w:t xml:space="preserve">4 Technical Content</w:t>
      </w:r>
      <w:bookmarkEnd w:id="25"/>
    </w:p>
    <w:p>
      <w:pPr>
        <w:pStyle w:val="FirstParagraph"/>
      </w:pPr>
      <w:r>
        <w:t xml:space="preserve">These clauses include the technical content of the Engineering Document.</w:t>
      </w:r>
    </w:p>
    <w:p>
      <w:pPr>
        <w:pStyle w:val="Heading1"/>
      </w:pPr>
      <w:bookmarkStart w:id="26" w:name="headings-and-lists"/>
      <w:r>
        <w:t xml:space="preserve">5 Headings and Lists</w:t>
      </w:r>
      <w:bookmarkEnd w:id="26"/>
    </w:p>
    <w:p>
      <w:pPr>
        <w:pStyle w:val="Heading2"/>
      </w:pPr>
      <w:bookmarkStart w:id="27" w:name="heading-2"/>
      <w:r>
        <w:t xml:space="preserve">5.1 Heading 2</w:t>
      </w:r>
      <w:bookmarkEnd w:id="27"/>
    </w:p>
    <w:p>
      <w:pPr>
        <w:pStyle w:val="Heading2"/>
      </w:pPr>
      <w:bookmarkStart w:id="28" w:name="heading-3"/>
      <w:r>
        <w:t xml:space="preserve">5.2 Heading 3</w:t>
      </w:r>
      <w:bookmarkEnd w:id="28"/>
    </w:p>
    <w:p>
      <w:pPr>
        <w:pStyle w:val="FirstParagraph"/>
      </w:pPr>
      <w:r>
        <w:t xml:space="preserve">In this section, lists and headings are shown:</w:t>
      </w:r>
    </w:p>
    <w:p>
      <w:pPr>
        <w:numPr>
          <w:ilvl w:val="0"/>
          <w:numId w:val="1001"/>
        </w:numPr>
        <w:pStyle w:val="Compact"/>
      </w:pPr>
      <w:r>
        <w:t xml:space="preserve">An auto bullet list</w:t>
      </w:r>
    </w:p>
    <w:p>
      <w:pPr>
        <w:numPr>
          <w:ilvl w:val="1"/>
          <w:numId w:val="1002"/>
        </w:numPr>
        <w:pStyle w:val="Compact"/>
      </w:pPr>
      <w:r>
        <w:t xml:space="preserve">With a nest</w:t>
      </w:r>
    </w:p>
    <w:p>
      <w:pPr>
        <w:numPr>
          <w:ilvl w:val="2"/>
          <w:numId w:val="1003"/>
        </w:numPr>
        <w:pStyle w:val="Compact"/>
      </w:pPr>
      <w:r>
        <w:t xml:space="preserve">And another nest</w:t>
      </w:r>
    </w:p>
    <w:p>
      <w:pPr>
        <w:numPr>
          <w:ilvl w:val="2"/>
          <w:numId w:val="1003"/>
        </w:numPr>
        <w:pStyle w:val="Compact"/>
      </w:pPr>
      <w:r>
        <w:t xml:space="preserve">And one more</w:t>
      </w:r>
    </w:p>
    <w:p>
      <w:pPr>
        <w:numPr>
          <w:ilvl w:val="1"/>
          <w:numId w:val="1002"/>
        </w:numPr>
        <w:pStyle w:val="Compact"/>
      </w:pPr>
      <w:r>
        <w:t xml:space="preserve">Using numbered lists</w:t>
      </w:r>
    </w:p>
    <w:p>
      <w:pPr>
        <w:numPr>
          <w:ilvl w:val="2"/>
          <w:numId w:val="1004"/>
        </w:numPr>
        <w:pStyle w:val="Compact"/>
      </w:pPr>
      <w:r>
        <w:t xml:space="preserve">Here is a numbered list</w:t>
      </w:r>
    </w:p>
    <w:p>
      <w:pPr>
        <w:numPr>
          <w:ilvl w:val="2"/>
          <w:numId w:val="1004"/>
        </w:numPr>
        <w:pStyle w:val="Compact"/>
      </w:pPr>
      <w:r>
        <w:t xml:space="preserve">With 3 entries</w:t>
      </w:r>
    </w:p>
    <w:p>
      <w:pPr>
        <w:numPr>
          <w:ilvl w:val="2"/>
          <w:numId w:val="1004"/>
        </w:numPr>
        <w:pStyle w:val="Compact"/>
      </w:pPr>
      <w:r>
        <w:t xml:space="preserve">And a sub-level</w:t>
      </w:r>
    </w:p>
    <w:p>
      <w:pPr>
        <w:numPr>
          <w:ilvl w:val="2"/>
          <w:numId w:val="1004"/>
        </w:numPr>
        <w:pStyle w:val="Compact"/>
      </w:pPr>
      <w:r>
        <w:t xml:space="preserve">With 2 entries</w:t>
      </w:r>
    </w:p>
    <w:p>
      <w:pPr>
        <w:numPr>
          <w:ilvl w:val="2"/>
          <w:numId w:val="1004"/>
        </w:numPr>
        <w:pStyle w:val="Compact"/>
      </w:pPr>
      <w:r>
        <w:t xml:space="preserve">And a last entry</w:t>
      </w:r>
    </w:p>
    <w:p>
      <w:pPr>
        <w:pStyle w:val="Heading3"/>
      </w:pPr>
      <w:bookmarkStart w:id="29" w:name="another-heading-3"/>
      <w:r>
        <w:t xml:space="preserve">5.2.1 Another Heading 3</w:t>
      </w:r>
      <w:bookmarkEnd w:id="29"/>
    </w:p>
    <w:p>
      <w:pPr>
        <w:pStyle w:val="Heading4"/>
      </w:pPr>
      <w:bookmarkStart w:id="30" w:name="this-is-heading-4"/>
      <w:r>
        <w:t xml:space="preserve">5.2.1.1 This is heading 4</w:t>
      </w:r>
      <w:bookmarkEnd w:id="30"/>
    </w:p>
    <w:p>
      <w:pPr>
        <w:pStyle w:val="Heading5"/>
      </w:pPr>
      <w:bookmarkStart w:id="31" w:name="and-heading-5"/>
      <w:r>
        <w:t xml:space="preserve">5.2.1.1.1 And heading 5</w:t>
      </w:r>
      <w:bookmarkEnd w:id="31"/>
    </w:p>
    <w:p>
      <w:pPr>
        <w:pStyle w:val="Heading6"/>
      </w:pPr>
      <w:bookmarkStart w:id="32" w:name="and-heading-6"/>
      <w:r>
        <w:t xml:space="preserve">5.2.1.1.1.1 And heading 6</w:t>
      </w:r>
      <w:bookmarkEnd w:id="32"/>
    </w:p>
    <w:p>
      <w:pPr>
        <w:pStyle w:val="Heading1"/>
      </w:pPr>
      <w:bookmarkStart w:id="33" w:name="style-recommendations"/>
      <w:r>
        <w:t xml:space="preserve">6 Style Recommendations</w:t>
      </w:r>
      <w:bookmarkEnd w:id="33"/>
    </w:p>
    <w:p>
      <w:pPr>
        <w:pStyle w:val="Heading2"/>
      </w:pPr>
      <w:bookmarkStart w:id="34" w:name="notes"/>
      <w:r>
        <w:t xml:space="preserve">6.1 Notes</w:t>
      </w:r>
      <w:bookmarkEnd w:id="34"/>
    </w:p>
    <w:p>
      <w:pPr>
        <w:pStyle w:val="FirstParagraph"/>
      </w:pPr>
      <w:r>
        <w:t xml:space="preserve">NOTE: This is purely informational</w:t>
      </w:r>
    </w:p>
    <w:p>
      <w:pPr>
        <w:pStyle w:val="Heading2"/>
      </w:pPr>
      <w:bookmarkStart w:id="35" w:name="examples"/>
      <w:r>
        <w:t xml:space="preserve">6.2 Examples</w:t>
      </w:r>
      <w:bookmarkEnd w:id="35"/>
    </w:p>
    <w:p>
      <w:pPr>
        <w:pStyle w:val="FirstParagraph"/>
      </w:pPr>
      <w:r>
        <w:t xml:space="preserve">EXAMPLE: 5 oranges</w:t>
      </w:r>
    </w:p>
    <w:p>
      <w:pPr>
        <w:pStyle w:val="Heading2"/>
      </w:pPr>
      <w:bookmarkStart w:id="36" w:name="equations"/>
      <w:r>
        <w:t xml:space="preserve">6.3 Equations</w:t>
      </w:r>
      <w:bookmarkEnd w:id="36"/>
    </w:p>
    <w:p>
      <w:pPr>
        <w:pStyle w:val="FirstParagraph"/>
      </w:pPr>
      <w:r>
        <w:t xml:space="preserve">The tone mapping offset, gain and gamma values shall be applied according to the equation:</w:t>
      </w:r>
    </w:p>
    <w:tbl>
      <w:tblPr>
        <w:tblStyle w:val="Table"/>
        <w:tblW w:type="pct" w:w="3958.333333333333"/>
        <w:tblLook w:firstRow="0" w:lastRow="0" w:firstColumn="0" w:lastColumn="0" w:noHBand="0" w:noVBand="0"/>
      </w:tblPr>
      <w:tblGrid>
        <w:gridCol w:w="5280"/>
        <w:gridCol w:w="990"/>
      </w:tblGrid>
      <w:tr>
        <w:tc>
          <w:p>
            <w:pPr>
              <w:pStyle w:val="Compact"/>
              <w:jc w:val="left"/>
            </w:pPr>
            <m:oMath>
              <m:r>
                <m:t>y</m:t>
              </m:r>
              <m:r>
                <m:t>=</m:t>
              </m:r>
              <m:r>
                <m:t>(</m:t>
              </m:r>
              <m:r>
                <m:t>m</m:t>
              </m:r>
              <m:r>
                <m:t>i</m:t>
              </m:r>
              <m:r>
                <m:t>n</m:t>
              </m:r>
              <m:r>
                <m:t>(</m:t>
              </m:r>
              <m:r>
                <m:t>m</m:t>
              </m:r>
              <m:r>
                <m:t>a</m:t>
              </m:r>
              <m:r>
                <m:t>x</m:t>
              </m:r>
              <m:r>
                <m:t>(</m:t>
              </m:r>
              <m:r>
                <m:t>0</m:t>
              </m:r>
              <m:r>
                <m:t>,</m:t>
              </m:r>
              <m:r>
                <m:t>(</m:t>
              </m:r>
              <m:r>
                <m:t>x</m:t>
              </m:r>
              <m:r>
                <m:t>×</m:t>
              </m:r>
              <m:r>
                <m:t>g</m:t>
              </m:r>
              <m:r>
                <m:t>)</m:t>
              </m:r>
              <m:r>
                <m:t>+</m:t>
              </m:r>
              <m:r>
                <m:t>o</m:t>
              </m:r>
              <m:r>
                <m:t>)</m:t>
              </m:r>
              <m:r>
                <m:t>,</m:t>
              </m:r>
              <m:r>
                <m:t>1</m:t>
              </m:r>
              <m:r>
                <m:t>)</m:t>
              </m:r>
              <m:sSup>
                <m:e>
                  <m:r>
                    <m:t>)</m:t>
                  </m:r>
                </m:e>
                <m:sup>
                  <m:r>
                    <m:t>P</m:t>
                  </m:r>
                </m:sup>
              </m:sSup>
            </m:oMath>
          </w:p>
        </w:tc>
        <w:tc>
          <w:p>
            <w:pPr>
              <w:pStyle w:val="Compact"/>
              <w:jc w:val="right"/>
            </w:pPr>
            <w:r>
              <w:t xml:space="preserve">( 1 )</w:t>
            </w:r>
          </w:p>
        </w:tc>
      </w:tr>
    </w:tbl>
    <w:p>
      <w:pPr>
        <w:pStyle w:val="BodyText"/>
      </w:pPr>
      <w:r>
        <w:t xml:space="preserve">where</w:t>
      </w:r>
      <w:r>
        <w:t xml:space="preserve"> </w:t>
      </w:r>
      <w:r>
        <w:rPr>
          <w:rStyle w:val="VerbatimChar"/>
        </w:rPr>
        <w:t xml:space="preserve">y</w:t>
      </w:r>
      <w:r>
        <w:t xml:space="preserve"> </w:t>
      </w:r>
      <w:r>
        <w:t xml:space="preserve">is the output value</w:t>
      </w:r>
      <w:r>
        <w:t xml:space="preserve"> </w:t>
      </w:r>
      <w:r>
        <w:rPr>
          <w:rStyle w:val="VerbatimChar"/>
        </w:rPr>
        <w:t xml:space="preserve">x</w:t>
      </w:r>
      <w:r>
        <w:t xml:space="preserve"> </w:t>
      </w:r>
      <w:r>
        <w:t xml:space="preserve">is the input value</w:t>
      </w:r>
      <w:r>
        <w:t xml:space="preserve"> </w:t>
      </w:r>
      <w:r>
        <w:rPr>
          <w:rStyle w:val="VerbatimChar"/>
        </w:rPr>
        <w:t xml:space="preserve">g</w:t>
      </w:r>
      <w:r>
        <w:t xml:space="preserve"> </w:t>
      </w:r>
      <w:r>
        <w:t xml:space="preserve">is the value of Tone Mapping Gain</w:t>
      </w:r>
      <w:r>
        <w:t xml:space="preserve"> </w:t>
      </w:r>
      <w:r>
        <w:rPr>
          <w:rStyle w:val="VerbatimChar"/>
        </w:rPr>
        <w:t xml:space="preserve">o</w:t>
      </w:r>
      <w:r>
        <w:t xml:space="preserve"> </w:t>
      </w:r>
      <w:r>
        <w:t xml:space="preserve">is the value of Tone Mapping Offset</w:t>
      </w:r>
      <w:r>
        <w:t xml:space="preserve"> </w:t>
      </w:r>
      <w:r>
        <w:rPr>
          <w:rStyle w:val="VerbatimChar"/>
        </w:rPr>
        <w:t xml:space="preserve">p</w:t>
      </w:r>
      <w:r>
        <w:t xml:space="preserve"> </w:t>
      </w:r>
      <w:r>
        <w:t xml:space="preserve">is the value of Tone Mapping Gamma</w:t>
      </w:r>
    </w:p>
    <w:p>
      <w:pPr>
        <w:pStyle w:val="Heading2"/>
      </w:pPr>
      <w:bookmarkStart w:id="37" w:name="figures"/>
      <w:r>
        <w:t xml:space="preserve">6.4 Figures</w:t>
      </w:r>
      <w:bookmarkEnd w:id="37"/>
    </w:p>
    <w:p>
      <w:pPr>
        <w:pStyle w:val="CaptionedFigure"/>
      </w:pPr>
      <w:r>
        <w:drawing>
          <wp:inline>
            <wp:extent cx="5727700" cy="5196822"/>
            <wp:effectExtent b="0" l="0" r="0" t="0"/>
            <wp:docPr descr="Two-dimensional LUT of actual peak luminance" title="" id="1" name="Picture"/>
            <a:graphic>
              <a:graphicData uri="http://schemas.openxmlformats.org/drawingml/2006/picture">
                <pic:pic>
                  <pic:nvPicPr>
                    <pic:cNvPr descr="figure-01.png" id="0" name="Picture"/>
                    <pic:cNvPicPr>
                      <a:picLocks noChangeArrowheads="1" noChangeAspect="1"/>
                    </pic:cNvPicPr>
                  </pic:nvPicPr>
                  <pic:blipFill>
                    <a:blip r:embed="rId38"/>
                    <a:stretch>
                      <a:fillRect/>
                    </a:stretch>
                  </pic:blipFill>
                  <pic:spPr bwMode="auto">
                    <a:xfrm>
                      <a:off x="0" y="0"/>
                      <a:ext cx="5727700" cy="5196822"/>
                    </a:xfrm>
                    <a:prstGeom prst="rect">
                      <a:avLst/>
                    </a:prstGeom>
                    <a:noFill/>
                    <a:ln w="9525">
                      <a:noFill/>
                      <a:headEnd/>
                      <a:tailEnd/>
                    </a:ln>
                  </pic:spPr>
                </pic:pic>
              </a:graphicData>
            </a:graphic>
          </wp:inline>
        </w:drawing>
      </w:r>
    </w:p>
    <w:p>
      <w:pPr>
        <w:pStyle w:val="ImageCaption"/>
      </w:pPr>
      <w:r>
        <w:t xml:space="preserve">Two-dimensional LUT of actual peak luminance</w:t>
      </w:r>
    </w:p>
    <w:p>
      <w:pPr>
        <w:pStyle w:val="Heading2"/>
      </w:pPr>
      <w:bookmarkStart w:id="39" w:name="tables"/>
      <w:r>
        <w:t xml:space="preserve">6.5 Tables</w:t>
      </w:r>
      <w:bookmarkEnd w:id="39"/>
    </w:p>
    <w:p>
      <w:pPr>
        <w:pStyle w:val="TableCaption"/>
      </w:pPr>
      <w:r>
        <w:t xml:space="preserve">Example Metadata sets with Time Intervals</w:t>
      </w:r>
    </w:p>
    <w:tbl>
      <w:tblPr>
        <w:tblStyle w:val="Table"/>
        <w:tblW w:type="pct" w:w="0.0"/>
        <w:tblLook w:firstRow="1" w:lastRow="0" w:firstColumn="0" w:lastColumn="0" w:noHBand="0" w:noVBand="0"/>
        <w:tblCaption w:val="Example Metadata sets with Time Intervals"/>
      </w:tblPr>
      <w:tblGrid/>
      <w:tr>
        <w:trPr>
          <w:cnfStyle w:firstRow="1"/>
        </w:trPr>
        <w:tc>
          <w:tcPr>
            <w:tcBorders>
              <w:bottom w:val="single"/>
            </w:tcBorders>
            <w:vAlign w:val="bottom"/>
          </w:tcPr>
          <w:p>
            <w:pPr>
              <w:pStyle w:val="Compact"/>
              <w:jc w:val="left"/>
            </w:pPr>
            <w:r>
              <w:t xml:space="preserve">Example set</w:t>
            </w:r>
          </w:p>
        </w:tc>
        <w:tc>
          <w:tcPr>
            <w:tcBorders>
              <w:bottom w:val="single"/>
            </w:tcBorders>
            <w:vAlign w:val="bottom"/>
          </w:tcPr>
          <w:p>
            <w:pPr>
              <w:pStyle w:val="Compact"/>
              <w:jc w:val="center"/>
            </w:pPr>
            <w:r>
              <w:t xml:space="preserve">TimeIntervalStart</w:t>
            </w:r>
          </w:p>
        </w:tc>
        <w:tc>
          <w:tcPr>
            <w:tcBorders>
              <w:bottom w:val="single"/>
            </w:tcBorders>
            <w:vAlign w:val="bottom"/>
          </w:tcPr>
          <w:p>
            <w:pPr>
              <w:pStyle w:val="Compact"/>
              <w:jc w:val="center"/>
            </w:pPr>
            <w:r>
              <w:t xml:space="preserve">TimeIntervalDuration</w:t>
            </w:r>
          </w:p>
        </w:tc>
      </w:tr>
      <w:tr>
        <w:tc>
          <w:p>
            <w:pPr>
              <w:pStyle w:val="Compact"/>
              <w:jc w:val="left"/>
            </w:pPr>
            <w:r>
              <w:t xml:space="preserve">Application Set A</w:t>
            </w:r>
          </w:p>
        </w:tc>
        <w:tc>
          <w:p>
            <w:pPr>
              <w:pStyle w:val="Compact"/>
              <w:jc w:val="center"/>
            </w:pPr>
            <w:r>
              <w:t xml:space="preserve">0</w:t>
            </w:r>
          </w:p>
        </w:tc>
        <w:tc>
          <w:p>
            <w:pPr>
              <w:pStyle w:val="Compact"/>
              <w:jc w:val="center"/>
            </w:pPr>
            <w:r>
              <w:t xml:space="preserve">2</w:t>
            </w:r>
          </w:p>
        </w:tc>
      </w:tr>
      <w:tr>
        <w:tc>
          <w:p>
            <w:pPr>
              <w:pStyle w:val="Compact"/>
              <w:jc w:val="left"/>
            </w:pPr>
            <w:r>
              <w:t xml:space="preserve">Application Set B</w:t>
            </w:r>
          </w:p>
        </w:tc>
        <w:tc>
          <w:p>
            <w:pPr>
              <w:pStyle w:val="Compact"/>
              <w:jc w:val="center"/>
            </w:pPr>
            <w:r>
              <w:t xml:space="preserve">0</w:t>
            </w:r>
          </w:p>
        </w:tc>
        <w:tc>
          <w:p>
            <w:pPr>
              <w:pStyle w:val="Compact"/>
              <w:jc w:val="center"/>
            </w:pPr>
            <w:r>
              <w:t xml:space="preserve">3</w:t>
            </w:r>
          </w:p>
        </w:tc>
      </w:tr>
      <w:tr>
        <w:tc>
          <w:p>
            <w:pPr>
              <w:pStyle w:val="Compact"/>
              <w:jc w:val="left"/>
            </w:pPr>
            <w:r>
              <w:t xml:space="preserve">Application Set C</w:t>
            </w:r>
          </w:p>
        </w:tc>
        <w:tc>
          <w:p>
            <w:pPr>
              <w:pStyle w:val="Compact"/>
              <w:jc w:val="center"/>
            </w:pPr>
            <w:r>
              <w:t xml:space="preserve">5</w:t>
            </w:r>
          </w:p>
        </w:tc>
        <w:tc>
          <w:p>
            <w:pPr>
              <w:pStyle w:val="Compact"/>
              <w:jc w:val="center"/>
            </w:pPr>
            <w:r>
              <w:t xml:space="preserve">2</w:t>
            </w:r>
          </w:p>
        </w:tc>
      </w:tr>
    </w:tbl>
    <w:p>
      <w:r>
        <w:br w:type="page"/>
      </w:r>
    </w:p>
    <w:p>
      <w:pPr>
        <w:pStyle w:val="Heading1"/>
      </w:pPr>
      <w:bookmarkStart w:id="40" w:name="annex-all-annexes-are-numbered"/>
      <w:r>
        <w:t xml:space="preserve">Annex A  All Annexes are Numbered</w:t>
      </w:r>
      <w:bookmarkEnd w:id="40"/>
    </w:p>
    <w:p>
      <w:pPr>
        <w:pStyle w:val="Heading2"/>
      </w:pPr>
      <w:bookmarkStart w:id="41" w:name="even-the-sub-headings-are-numbered"/>
      <w:r>
        <w:t xml:space="preserve">Annex A.1 Even the sub headings are numbered</w:t>
      </w:r>
      <w:bookmarkEnd w:id="41"/>
    </w:p>
    <w:p>
      <w:pPr>
        <w:pStyle w:val="FirstParagraph"/>
      </w:pPr>
      <w:r>
        <w:t xml:space="preserve">By default syntax highlighting is used in code, XML and JSON.</w:t>
      </w:r>
    </w:p>
    <w:p>
      <w:pPr>
        <w:pStyle w:val="SourceCode"/>
      </w:pPr>
      <w:r>
        <w:rPr>
          <w:rStyle w:val="KeywordTok"/>
        </w:rPr>
        <w:t xml:space="preserve">&lt;xs:schema</w:t>
      </w:r>
      <w:r>
        <w:rPr>
          <w:rStyle w:val="OtherTok"/>
        </w:rPr>
        <w:t xml:space="preserve"> attributeFormDefault=</w:t>
      </w:r>
      <w:r>
        <w:rPr>
          <w:rStyle w:val="StringTok"/>
        </w:rPr>
        <w:t xml:space="preserve">"unqualified"</w:t>
      </w:r>
      <w:r>
        <w:rPr>
          <w:rStyle w:val="OtherTok"/>
        </w:rPr>
        <w:t xml:space="preserve"> elementFormDefault=</w:t>
      </w:r>
      <w:r>
        <w:rPr>
          <w:rStyle w:val="StringTok"/>
        </w:rPr>
        <w:t xml:space="preserve">"qualified"</w:t>
      </w:r>
      <w:r>
        <w:br/>
      </w:r>
      <w:r>
        <w:rPr>
          <w:rStyle w:val="OtherTok"/>
        </w:rPr>
        <w:t xml:space="preserve">  xmlns:xs=</w:t>
      </w:r>
      <w:r>
        <w:rPr>
          <w:rStyle w:val="StringTok"/>
        </w:rPr>
        <w:t xml:space="preserve">"http://www.w3.org/2001/XMLSchema"</w:t>
      </w:r>
      <w:r>
        <w:rPr>
          <w:rStyle w:val="KeywordTok"/>
        </w:rPr>
        <w:t xml:space="preserve">&gt;</w:t>
      </w:r>
      <w:r>
        <w:br/>
      </w:r>
      <w:r>
        <w:rPr>
          <w:rStyle w:val="NormalTok"/>
        </w:rPr>
        <w:t xml:space="preserve">  </w:t>
      </w:r>
      <w:r>
        <w:rPr>
          <w:rStyle w:val="CommentTok"/>
        </w:rPr>
        <w:t xml:space="preserve">&lt;!-- for restricting the termNote Attributes--&gt;</w:t>
      </w:r>
      <w:r>
        <w:br/>
      </w:r>
      <w:r>
        <w:rPr>
          <w:rStyle w:val="NormalTok"/>
        </w:rPr>
        <w:t xml:space="preserve">  </w:t>
      </w:r>
      <w:r>
        <w:rPr>
          <w:rStyle w:val="KeywordTok"/>
        </w:rPr>
        <w:t xml:space="preserve">&lt;xs:simpleType</w:t>
      </w:r>
      <w:r>
        <w:rPr>
          <w:rStyle w:val="OtherTok"/>
        </w:rPr>
        <w:t xml:space="preserve"> name=</w:t>
      </w:r>
      <w:r>
        <w:rPr>
          <w:rStyle w:val="StringTok"/>
        </w:rPr>
        <w:t xml:space="preserve">"LMTtermNoteLabelType"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Name"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"Notes"</w:t>
      </w:r>
      <w:r>
        <w:rPr>
          <w:rStyle w:val="NormalTok"/>
        </w:rPr>
        <w:t xml:space="preserve"> </w:t>
      </w:r>
      <w:r>
        <w:rPr>
          <w:rStyle w:val="KeywordTok"/>
        </w:rPr>
        <w:t xml:space="preserve">/&gt;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&lt;xs:simpleType</w:t>
      </w:r>
      <w:r>
        <w:rPr>
          <w:rStyle w:val="OtherTok"/>
        </w:rPr>
        <w:t xml:space="preserve"> name=</w:t>
      </w:r>
      <w:r>
        <w:rPr>
          <w:rStyle w:val="StringTok"/>
        </w:rPr>
        <w:t xml:space="preserve">"relationTypeType"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"EQT"</w:t>
      </w:r>
      <w:r>
        <w:rPr>
          <w:rStyle w:val="NormalTok"/>
        </w:rPr>
        <w:t xml:space="preserve"> </w:t>
      </w:r>
      <w:r>
        <w:rPr>
          <w:rStyle w:val="KeywordTok"/>
        </w:rPr>
        <w:t xml:space="preserve">/&gt;</w:t>
      </w:r>
      <w:r>
        <w:br/>
      </w:r>
      <w:r>
        <w:rPr>
          <w:rStyle w:val="NormalTok"/>
        </w:rPr>
        <w:t xml:space="preserve">      </w:t>
      </w:r>
      <w:r>
        <w:rPr>
          <w:rStyle w:val="CommentTok"/>
        </w:rPr>
        <w:t xml:space="preserve">&lt;!-- Equivalent To --&gt;</w:t>
      </w:r>
      <w:r>
        <w:br/>
      </w:r>
      <w:r>
        <w:rPr>
          <w:rStyle w:val="NormalTok"/>
        </w:rPr>
        <w:t xml:space="preserve">      </w:t>
      </w:r>
      <w:r>
        <w:rPr>
          <w:rStyle w:val="KeywordTok"/>
        </w:rPr>
        <w:t xml:space="preserve">&lt;xs:enumeration</w:t>
      </w:r>
      <w:r>
        <w:rPr>
          <w:rStyle w:val="OtherTok"/>
        </w:rPr>
        <w:t xml:space="preserve"> value=</w:t>
      </w:r>
      <w:r>
        <w:rPr>
          <w:rStyle w:val="StringTok"/>
        </w:rPr>
        <w:t xml:space="preserve">"BT"</w:t>
      </w:r>
      <w:r>
        <w:rPr>
          <w:rStyle w:val="NormalTok"/>
        </w:rPr>
        <w:t xml:space="preserve"> </w:t>
      </w:r>
      <w:r>
        <w:rPr>
          <w:rStyle w:val="KeywordTok"/>
        </w:rPr>
        <w:t xml:space="preserve">/&gt;</w:t>
      </w:r>
      <w:r>
        <w:br/>
      </w:r>
      <w:r>
        <w:rPr>
          <w:rStyle w:val="NormalTok"/>
        </w:rPr>
        <w:t xml:space="preserve">      </w:t>
      </w:r>
      <w:r>
        <w:rPr>
          <w:rStyle w:val="CommentTok"/>
        </w:rPr>
        <w:t xml:space="preserve">&lt;!-- Broad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"NT"</w:t>
      </w:r>
      <w:r>
        <w:rPr>
          <w:rStyle w:val="NormalTok"/>
        </w:rPr>
        <w:t xml:space="preserve"> </w:t>
      </w:r>
      <w:r>
        <w:rPr>
          <w:rStyle w:val="KeywordTok"/>
        </w:rPr>
        <w:t xml:space="preserve">/&gt;</w:t>
      </w:r>
      <w:r>
        <w:br/>
      </w:r>
      <w:r>
        <w:rPr>
          <w:rStyle w:val="NormalTok"/>
        </w:rPr>
        <w:t xml:space="preserve">      </w:t>
      </w:r>
      <w:r>
        <w:rPr>
          <w:rStyle w:val="CommentTok"/>
        </w:rPr>
        <w:t xml:space="preserve">&lt;!-- Narrow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"TT"</w:t>
      </w:r>
      <w:r>
        <w:rPr>
          <w:rStyle w:val="NormalTok"/>
        </w:rPr>
        <w:t xml:space="preserve"> </w:t>
      </w:r>
      <w:r>
        <w:rPr>
          <w:rStyle w:val="KeywordTok"/>
        </w:rPr>
        <w:t xml:space="preserve">/&gt;</w:t>
      </w:r>
      <w:r>
        <w:br/>
      </w:r>
      <w:r>
        <w:rPr>
          <w:rStyle w:val="NormalTok"/>
        </w:rPr>
        <w:t xml:space="preserve">      </w:t>
      </w:r>
      <w:r>
        <w:rPr>
          <w:rStyle w:val="CommentTok"/>
        </w:rPr>
        <w:t xml:space="preserve">&lt;!-- Top Type --&gt;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KeywordTok"/>
        </w:rPr>
        <w:t xml:space="preserve">&lt;/xs:schema&gt;</w:t>
      </w:r>
    </w:p>
    <w:p>
      <w:pPr>
        <w:pStyle w:val="Heading1"/>
      </w:pPr>
      <w:bookmarkStart w:id="42" w:name="bibliography"/>
      <w:r>
        <w:t xml:space="preserve">Bibliography</w:t>
      </w:r>
      <w:bookmarkEnd w:id="42"/>
    </w:p>
    <w:p>
      <w:pPr>
        <w:pStyle w:val="FirstParagraph"/>
      </w:pPr>
      <w:r>
        <w:t xml:space="preserve">A bibliography has no number</w:t>
      </w:r>
    </w:p>
    <w:sectPr w:rsidR="000F51DE" w:rsidRPr="000F51DE" w:rsidSect="00FF4A81">
      <w:headerReference w:type="even" r:id="rId10"/>
      <w:headerReference w:type="default" r:id="rId9"/>
      <w:footerReference w:type="even" r:id="rId14"/>
      <w:footerReference w:type="default" r:id="rId13"/>
      <w:headerReference w:type="first" r:id="rId11"/>
      <w:footerReference w:type="first" r:id="rId12"/>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49CAB" w14:textId="77777777" w:rsidR="005549C7" w:rsidRDefault="00554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66A47A77" w:rsidR="00FF4A81" w:rsidRPr="0000582A" w:rsidRDefault="00FF4A81" w:rsidP="0000582A">
    <w:pPr>
      <w:pStyle w:val="Footer"/>
    </w:pPr>
    <w:r w:rsidRPr="00A81AA4">
      <w:t xml:space="preserve">Copyright © 2020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90CB3" w14:textId="77777777" w:rsidR="005549C7" w:rsidRDefault="00554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DC475" w14:textId="77777777" w:rsidR="005549C7" w:rsidRDefault="00554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05F207AC" w:rsidR="007B4A54" w:rsidRDefault="008225CE">
    <w:pPr>
      <w:pStyle w:val="Header"/>
    </w:pPr>
    <w:r>
      <w:rPr>
        <w:noProof/>
      </w:rPr>
      <w:drawing>
        <wp:anchor distT="0" distB="0" distL="114300" distR="114300" simplePos="0" relativeHeight="251657215" behindDoc="0" locked="0" layoutInCell="1" allowOverlap="1" wp14:anchorId="5FC722F1" wp14:editId="77CA281B">
          <wp:simplePos x="0" y="0"/>
          <wp:positionH relativeFrom="column">
            <wp:posOffset>5138382</wp:posOffset>
          </wp:positionH>
          <wp:positionV relativeFrom="paragraph">
            <wp:posOffset>676361</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95622" cy="6439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6E87C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7E84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5C3C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484E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7E38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BC8C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AF6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DACA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943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D2F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4"/>
  </w:num>
  <w:num w:numId="17">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table">
    <w:name w:val="smpte-caption-table"/>
    <w:basedOn w:val="Normal"/>
    <w:next w:val="Normal"/>
    <w:link w:val="smpte-caption-tableChar"/>
    <w:qFormat/>
    <w:rsid w:val="00A72A5F"/>
    <w:pPr>
      <w:jc w:val="center"/>
    </w:pPr>
    <w:rPr>
      <w:b/>
      <w:lang w:val="en-NZ"/>
    </w:rPr>
  </w:style>
  <w:style w:type="character" w:customStyle="1" w:styleId="smpte-caption-tableChar">
    <w:name w:val="smpte-caption-table Char"/>
    <w:basedOn w:val="DefaultParagraphFont"/>
    <w:link w:val="smpte-caption-table"/>
    <w:rsid w:val="00A72A5F"/>
    <w:rPr>
      <w:rFonts w:ascii="Cambria" w:hAnsi="Cambria"/>
      <w:b/>
      <w:sz w:val="24"/>
      <w:szCs w:val="20"/>
      <w:lang w:val="en-NZ"/>
    </w:rPr>
  </w:style>
  <w:style w:type="paragraph" w:customStyle="1" w:styleId="smpte-caption-figure">
    <w:name w:val="smpte-caption-figure"/>
    <w:basedOn w:val="Normal"/>
    <w:link w:val="smpte-caption-figureChar"/>
    <w:qFormat/>
    <w:rsid w:val="002F4514"/>
    <w:pPr>
      <w:jc w:val="center"/>
    </w:pPr>
    <w:rPr>
      <w:b/>
    </w:rPr>
  </w:style>
  <w:style w:type="character" w:customStyle="1" w:styleId="smpte-caption-figureChar">
    <w:name w:val="smpte-caption-figure Char"/>
    <w:basedOn w:val="DefaultParagraphFont"/>
    <w:link w:val="smpte-caption-figure"/>
    <w:rsid w:val="002F4514"/>
    <w:rPr>
      <w:rFonts w:ascii="Cambria" w:hAnsi="Cambria"/>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2020-10-08T10:39:06Z</dcterms:created>
  <dcterms:modified xsi:type="dcterms:W3CDTF">2020-10-08T10:39:06Z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y fmtid="{D5CDD505-2E9C-101B-9397-08002B2CF9AE}" pid="3" name="mustache">
    <vt:lpwstr/>
  </property>
</Properties>
</file>