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rId27.png" ContentType="image/png"/>
  <Override PartName="/word/media/image1.png" ContentType="image/png"/>
  <Override PartName="/word/media/image2.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smpte-eng-doc-top"/>
      </w:pPr>
      <w:r>
        <w:rPr>
          <w:b/>
        </w:rPr>
        <w:t xml:space="preserve">SMPTE ST 2xxx-1:202x</w:t>
      </w:r>
    </w:p>
    <w:p>
      <w:pPr>
        <w:pStyle w:val="smpte-eng-doc-type"/>
      </w:pPr>
      <w:r>
        <w:t xml:space="preserve">SMPTE STANDARD</w:t>
      </w:r>
    </w:p>
    <w:p>
      <w:pPr>
        <w:pStyle w:val="smpte-eng-doc-title"/>
      </w:pPr>
      <w:r>
        <w:t xml:space="preserve">OSA Vocabulay</w:t>
      </w:r>
    </w:p>
    <w:p>
      <w:pPr>
        <w:pStyle w:val="Heading1"/>
      </w:pPr>
      <w:bookmarkStart w:id="20" w:name="foreword"/>
      <w:r>
        <w:t xml:space="preserve">Foreword</w:t>
      </w:r>
      <w:bookmarkEnd w:id="20"/>
    </w:p>
    <w:p>
      <w:pPr>
        <w:pStyle w:val="FirstParagraph"/>
      </w:pPr>
      <w:r>
        <w:t xml:space="preserve">SMPTE (the Society of Motion Picture and Television Engineers) is an internationally-recognized standards developing organization. Headquartered and incorporated in the United States of America, SMPTE has members in over 80 countries on six continents. SMPTE</w:t>
      </w:r>
      <w:r>
        <w:t xml:space="preserve">“</w:t>
      </w:r>
      <w:r>
        <w:t xml:space="preserve">s Engineering Documents, including Standards, Recommended Practices, and Engineering Guidelines, are prepared by SMPTE</w:t>
      </w:r>
      <w:r>
        <w:t xml:space="preserve">”</w:t>
      </w:r>
      <w:r>
        <w:t xml:space="preserve">s Technology Committees. Participation in these Committees is open to all with a bona fide interest in their work. SMPTE cooperates closely with other standards-developing organizations, including ISO, IEC and ITU.</w:t>
      </w:r>
    </w:p>
    <w:p>
      <w:pPr>
        <w:pStyle w:val="BodyText"/>
      </w:pPr>
      <w:r>
        <w:t xml:space="preserve">SMPTE Engineering Documents are drafted in accordance with the rules given in its Standards Operations Manual. This SMPTE Engineering Document was prepared by Technology Committee</w:t>
      </w:r>
      <w:r>
        <w:t xml:space="preserve"> </w:t>
      </w:r>
      <w:r>
        <w:t xml:space="preserve">TC-30MR.</w:t>
      </w:r>
    </w:p>
    <w:p>
      <w:pPr>
        <w:pStyle w:val="BodyText"/>
      </w:pPr>
      <w:r>
        <w:t xml:space="preserve">Normative text is text that describes elements of the design that are indispensable or contains the conformance language keywords:</w:t>
      </w:r>
      <w:r>
        <w:t xml:space="preserve"> </w:t>
      </w:r>
      <w:r>
        <w:t xml:space="preserve">“</w:t>
      </w:r>
      <w:r>
        <w:t xml:space="preserve">shall</w:t>
      </w:r>
      <w:r>
        <w:t xml:space="preserve">”</w:t>
      </w:r>
      <w:r>
        <w:t xml:space="preserve">,</w:t>
      </w:r>
      <w:r>
        <w:t xml:space="preserve"> </w:t>
      </w:r>
      <w:r>
        <w:t xml:space="preserve">“</w:t>
      </w:r>
      <w:r>
        <w:t xml:space="preserve">should</w:t>
      </w:r>
      <w:r>
        <w:t xml:space="preserve">”</w:t>
      </w:r>
      <w:r>
        <w:t xml:space="preserve">, or</w:t>
      </w:r>
      <w:r>
        <w:t xml:space="preserve"> </w:t>
      </w:r>
      <w:r>
        <w:t xml:space="preserve">“</w:t>
      </w:r>
      <w:r>
        <w:t xml:space="preserve">may</w:t>
      </w:r>
      <w:r>
        <w:t xml:space="preserve">”</w:t>
      </w:r>
      <w:r>
        <w:t xml:space="preserve">. Informative text is text that is potentially helpful to the user, but not indispensable, and can be removed, changed, or added editorially without affecting interoperability. Informative text does not contain any conformance keywords.</w:t>
      </w:r>
    </w:p>
    <w:p>
      <w:pPr>
        <w:pStyle w:val="BodyText"/>
      </w:pPr>
      <w:r>
        <w:t xml:space="preserve">All text in this document is, by default, normative, except: the Introduction, any section explicitly labeled as</w:t>
      </w:r>
      <w:r>
        <w:t xml:space="preserve"> </w:t>
      </w:r>
      <w:r>
        <w:t xml:space="preserve">“</w:t>
      </w:r>
      <w:r>
        <w:t xml:space="preserve">Informative</w:t>
      </w:r>
      <w:r>
        <w:t xml:space="preserve">”</w:t>
      </w:r>
      <w:r>
        <w:t xml:space="preserve"> </w:t>
      </w:r>
      <w:r>
        <w:t xml:space="preserve">or individual paragraphs that start with</w:t>
      </w:r>
      <w:r>
        <w:t xml:space="preserve"> </w:t>
      </w:r>
      <w:r>
        <w:t xml:space="preserve">“</w:t>
      </w:r>
      <w:r>
        <w:t xml:space="preserve">Note:</w:t>
      </w:r>
      <w:r>
        <w:t xml:space="preserve">”</w:t>
      </w:r>
    </w:p>
    <w:p>
      <w:pPr>
        <w:pStyle w:val="BodyText"/>
      </w:pPr>
      <w:r>
        <w:t xml:space="preserve">The keywords</w:t>
      </w:r>
      <w:r>
        <w:t xml:space="preserve"> </w:t>
      </w:r>
      <w:r>
        <w:t xml:space="preserve">“</w:t>
      </w:r>
      <w:r>
        <w:t xml:space="preserve">shall</w:t>
      </w:r>
      <w:r>
        <w:t xml:space="preserve">”</w:t>
      </w:r>
      <w:r>
        <w:t xml:space="preserve"> </w:t>
      </w:r>
      <w:r>
        <w:t xml:space="preserve">and</w:t>
      </w:r>
      <w:r>
        <w:t xml:space="preserve"> </w:t>
      </w:r>
      <w:r>
        <w:t xml:space="preserve">“</w:t>
      </w:r>
      <w:r>
        <w:t xml:space="preserve">shall not</w:t>
      </w:r>
      <w:r>
        <w:t xml:space="preserve">”</w:t>
      </w:r>
      <w:r>
        <w:t xml:space="preserve"> </w:t>
      </w:r>
      <w:r>
        <w:t xml:space="preserve">indicate requirements strictly to be followed in order to conform to the document and from which no deviation is permitted.</w:t>
      </w:r>
    </w:p>
    <w:p>
      <w:pPr>
        <w:pStyle w:val="BodyText"/>
      </w:pPr>
      <w:r>
        <w:t xml:space="preserve">The keywords</w:t>
      </w:r>
      <w:r>
        <w:t xml:space="preserve"> </w:t>
      </w:r>
      <w:r>
        <w:t xml:space="preserve">“</w:t>
      </w:r>
      <w:r>
        <w:t xml:space="preserve">should</w:t>
      </w:r>
      <w:r>
        <w:t xml:space="preserve">”</w:t>
      </w:r>
      <w:r>
        <w:t xml:space="preserve"> </w:t>
      </w:r>
      <w:r>
        <w:t xml:space="preserve">and</w:t>
      </w:r>
      <w:r>
        <w:t xml:space="preserve"> </w:t>
      </w:r>
      <w:r>
        <w:t xml:space="preserve">“</w:t>
      </w:r>
      <w:r>
        <w:t xml:space="preserve">should not</w:t>
      </w:r>
      <w:r>
        <w:t xml:space="preserve">”</w:t>
      </w:r>
      <w:r>
        <w:t xml:space="preserve"> </w:t>
      </w:r>
      <w:r>
        <w:t xml:space="preserve">indicate that, among several possibilities, one is recommended as particularly suitable, without mentioning or excluding others; or that a certain course of action is preferred but not necessarily required; or that (in the negative form) a certain possibility or course of action is deprecated but not prohibited.</w:t>
      </w:r>
    </w:p>
    <w:p>
      <w:pPr>
        <w:pStyle w:val="BodyText"/>
      </w:pPr>
      <w:r>
        <w:t xml:space="preserve">The keywords</w:t>
      </w:r>
      <w:r>
        <w:t xml:space="preserve"> </w:t>
      </w:r>
      <w:r>
        <w:t xml:space="preserve">“</w:t>
      </w:r>
      <w:r>
        <w:t xml:space="preserve">may</w:t>
      </w:r>
      <w:r>
        <w:t xml:space="preserve">”</w:t>
      </w:r>
      <w:r>
        <w:t xml:space="preserve"> </w:t>
      </w:r>
      <w:r>
        <w:t xml:space="preserve">and</w:t>
      </w:r>
      <w:r>
        <w:t xml:space="preserve"> </w:t>
      </w:r>
      <w:r>
        <w:t xml:space="preserve">“</w:t>
      </w:r>
      <w:r>
        <w:t xml:space="preserve">need not</w:t>
      </w:r>
      <w:r>
        <w:t xml:space="preserve">”</w:t>
      </w:r>
      <w:r>
        <w:t xml:space="preserve"> </w:t>
      </w:r>
      <w:r>
        <w:t xml:space="preserve">indicate courses of action permissible within the limits of the document.</w:t>
      </w:r>
    </w:p>
    <w:p>
      <w:pPr>
        <w:pStyle w:val="BodyText"/>
      </w:pPr>
      <w:r>
        <w:t xml:space="preserve">The keyword</w:t>
      </w:r>
      <w:r>
        <w:t xml:space="preserve"> </w:t>
      </w:r>
      <w:r>
        <w:t xml:space="preserve">“</w:t>
      </w:r>
      <w:r>
        <w:t xml:space="preserve">reserved</w:t>
      </w:r>
      <w:r>
        <w:t xml:space="preserve">”</w:t>
      </w:r>
      <w:r>
        <w:t xml:space="preserve"> </w:t>
      </w:r>
      <w:r>
        <w:t xml:space="preserve">indicates a provision that is not defined at this time, shall not be used, and may be defined in the future.</w:t>
      </w:r>
    </w:p>
    <w:p>
      <w:pPr>
        <w:pStyle w:val="BodyText"/>
      </w:pPr>
      <w:r>
        <w:t xml:space="preserve">The keyword</w:t>
      </w:r>
      <w:r>
        <w:t xml:space="preserve"> </w:t>
      </w:r>
      <w:r>
        <w:t xml:space="preserve">“</w:t>
      </w:r>
      <w:r>
        <w:t xml:space="preserve">forbidden</w:t>
      </w:r>
      <w:r>
        <w:t xml:space="preserve">”</w:t>
      </w:r>
      <w:r>
        <w:t xml:space="preserve"> </w:t>
      </w:r>
      <w:r>
        <w:t xml:space="preserve">indicates</w:t>
      </w:r>
      <w:r>
        <w:t xml:space="preserve"> </w:t>
      </w:r>
      <w:r>
        <w:t xml:space="preserve">“</w:t>
      </w:r>
      <w:r>
        <w:t xml:space="preserve">reserved</w:t>
      </w:r>
      <w:r>
        <w:t xml:space="preserve">”</w:t>
      </w:r>
      <w:r>
        <w:t xml:space="preserve"> </w:t>
      </w:r>
      <w:r>
        <w:t xml:space="preserve">and in addition indicates that the provision will never be defined in the future.</w:t>
      </w:r>
      <w:r>
        <w:t xml:space="preserve"> </w:t>
      </w:r>
      <w:r>
        <w:t xml:space="preserve">A conformant implementation according to this document is one that includes all mandatory provisions (</w:t>
      </w:r>
      <w:r>
        <w:t xml:space="preserve">“</w:t>
      </w:r>
      <w:r>
        <w:t xml:space="preserve">shall</w:t>
      </w:r>
      <w:r>
        <w:t xml:space="preserve">”</w:t>
      </w:r>
      <w:r>
        <w:t xml:space="preserve">) and, if implemented, all recommended provisions (</w:t>
      </w:r>
      <w:r>
        <w:t xml:space="preserve">“</w:t>
      </w:r>
      <w:r>
        <w:t xml:space="preserve">should</w:t>
      </w:r>
      <w:r>
        <w:t xml:space="preserve">”</w:t>
      </w:r>
      <w:r>
        <w:t xml:space="preserve">) as described. A conformant implementation need not implement optional provisions (</w:t>
      </w:r>
      <w:r>
        <w:t xml:space="preserve">“</w:t>
      </w:r>
      <w:r>
        <w:t xml:space="preserve">may</w:t>
      </w:r>
      <w:r>
        <w:t xml:space="preserve">”</w:t>
      </w:r>
      <w:r>
        <w:t xml:space="preserve">) and need not implement them as described.</w:t>
      </w:r>
    </w:p>
    <w:p>
      <w:pPr>
        <w:pStyle w:val="BodyText"/>
      </w:pPr>
      <w:r>
        <w:t xml:space="preserve">Unless otherwise specified, the order of precedence of the types of normative information in this document shall be as follows: Normative prose shall be the authoritative definition; Tables shall be next; then formal languages; then figures; and then any other language forms.</w:t>
      </w:r>
    </w:p>
    <w:p>
      <w:pPr>
        <w:pStyle w:val="BodyText"/>
      </w:pPr>
      <w:r>
        <w:t xml:space="preserve"> </w:t>
      </w:r>
    </w:p>
    <w:p>
      <w:pPr>
        <w:pStyle w:val="Heading1"/>
      </w:pPr>
      <w:bookmarkStart w:id="21" w:name="introduction"/>
      <w:r>
        <w:t xml:space="preserve">Introduction</w:t>
      </w:r>
      <w:bookmarkEnd w:id="21"/>
    </w:p>
    <w:p>
      <w:pPr>
        <w:pStyle w:val="FirstParagraph"/>
      </w:pPr>
      <w:r>
        <w:t xml:space="preserve">SMPTE ST 2117-1 (VC-6) is a versatile intra-frame compression scheme. This document maps the VC-6</w:t>
      </w:r>
      <w:r>
        <w:t xml:space="preserve"> </w:t>
      </w:r>
      <w:r>
        <w:t xml:space="preserve">bitstream into the MXF Generic Container. The usage of this mapping to synchronise with other components</w:t>
      </w:r>
      <w:r>
        <w:t xml:space="preserve"> </w:t>
      </w:r>
      <w:r>
        <w:t xml:space="preserve">such as audio and video is outside the scope of this document.</w:t>
      </w:r>
    </w:p>
    <w:p>
      <w:pPr>
        <w:pStyle w:val="BodyText"/>
      </w:pPr>
      <w:r>
        <w:t xml:space="preserve">The MXF Generic Container is a streamable Essence Container that can be placed on any suitable transport and stored.</w:t>
      </w:r>
      <w:r>
        <w:t xml:space="preserve"> </w:t>
      </w:r>
      <w:r>
        <w:t xml:space="preserve">SMPTE ST 379-1 defines the MXF Generic Container as the native Essence Container in MXF files.</w:t>
      </w:r>
      <w:r>
        <w:t xml:space="preserve"> </w:t>
      </w:r>
      <w:r>
        <w:t xml:space="preserve">SMPTE ST 379-2 defines the MXF Constrained Generic Container.</w:t>
      </w:r>
    </w:p>
    <w:p>
      <w:pPr>
        <w:pStyle w:val="BodyText"/>
      </w:pPr>
      <w:r>
        <w:t xml:space="preserve">Other MXF mapping documents such as SMPTE ST 382 define how Audio can be mapped and synchronised with the video stream in the MXF Generic Container.</w:t>
      </w:r>
    </w:p>
    <w:p>
      <w:pPr>
        <w:pStyle w:val="BodyText"/>
      </w:pPr>
      <w:r>
        <w:t xml:space="preserve">At the time of publication, no notice had been received by SMPTE claiming patent rights essential to the implementation of this Engineering Document. However, attention is drawn to the possibility that some of the elements of this document may be the subject of patent rights. SMPTE shall not be held responsible for identifying any or all such patent rights.</w:t>
      </w:r>
    </w:p>
    <w:p>
      <w:pPr>
        <w:pStyle w:val="Heading1"/>
      </w:pPr>
      <w:bookmarkStart w:id="22" w:name="scope"/>
      <w:r>
        <w:t xml:space="preserve">1 Scope</w:t>
      </w:r>
      <w:bookmarkEnd w:id="22"/>
    </w:p>
    <w:p>
      <w:pPr>
        <w:pStyle w:val="FirstParagraph"/>
      </w:pPr>
      <w:r>
        <w:t xml:space="preserve">This Standard constrains the MXF mapping of SMPTE ST-2117-1 into the MXF Generic Container or MXF Constrained Generic Container.</w:t>
      </w:r>
    </w:p>
    <w:p>
      <w:pPr>
        <w:pStyle w:val="Heading1"/>
      </w:pPr>
      <w:bookmarkStart w:id="23" w:name="normative-references"/>
      <w:r>
        <w:t xml:space="preserve">2 Normative References</w:t>
      </w:r>
      <w:bookmarkEnd w:id="23"/>
    </w:p>
    <w:p>
      <w:pPr>
        <w:pStyle w:val="FirstParagraph"/>
      </w:pPr>
      <w:r>
        <w:t xml:space="preserve">REF, year, Title</w:t>
      </w:r>
    </w:p>
    <w:p>
      <w:pPr>
        <w:pStyle w:val="Heading1"/>
      </w:pPr>
      <w:bookmarkStart w:id="24" w:name="terms-and-definitions"/>
      <w:r>
        <w:t xml:space="preserve">3 Terms and Definitions</w:t>
      </w:r>
      <w:bookmarkEnd w:id="24"/>
    </w:p>
    <w:p>
      <w:pPr>
        <w:pStyle w:val="FirstParagraph"/>
      </w:pPr>
      <w:r>
        <w:t xml:space="preserve">Chuck the T&amp;Ds here</w:t>
      </w:r>
    </w:p>
    <w:p>
      <w:pPr>
        <w:pStyle w:val="BodyText"/>
      </w:pPr>
      <w:r>
        <w:t xml:space="preserve">Chuck the T&amp;Ds here</w:t>
      </w:r>
    </w:p>
    <w:p>
      <w:pPr>
        <w:pStyle w:val="Heading1"/>
      </w:pPr>
      <w:bookmarkStart w:id="25" w:name="mxf-file-structure-and-mapping"/>
      <w:r>
        <w:t xml:space="preserve">4 MXF File Structure and Mapping</w:t>
      </w:r>
      <w:bookmarkEnd w:id="25"/>
    </w:p>
    <w:p>
      <w:pPr>
        <w:pStyle w:val="Heading2"/>
      </w:pPr>
      <w:bookmarkStart w:id="26" w:name="general"/>
      <w:r>
        <w:t xml:space="preserve">4.1 General</w:t>
      </w:r>
      <w:bookmarkEnd w:id="26"/>
    </w:p>
    <w:p>
      <w:pPr>
        <w:pStyle w:val="FirstParagraph"/>
      </w:pPr>
      <w:r>
        <w:t xml:space="preserve">SMPTE ST-2117-10 MXF files specified by this document shall have one of the two structures illustrated in Figure 1 and Figure 2 respectively.</w:t>
      </w:r>
      <w:r>
        <w:t xml:space="preserve"> </w:t>
      </w:r>
      <w:r>
        <w:rPr>
          <w:b/>
        </w:rPr>
        <w:t xml:space="preserve">HPP</w:t>
      </w:r>
      <w:r>
        <w:t xml:space="preserve"> </w:t>
      </w:r>
      <w:r>
        <w:t xml:space="preserve">is an shorthand for Header Partition Pack,</w:t>
      </w:r>
      <w:r>
        <w:t xml:space="preserve"> </w:t>
      </w:r>
      <w:r>
        <w:rPr>
          <w:b/>
        </w:rPr>
        <w:t xml:space="preserve">BPP</w:t>
      </w:r>
      <w:r>
        <w:t xml:space="preserve"> </w:t>
      </w:r>
      <w:r>
        <w:t xml:space="preserve">is an shorthand for Body Partition Pack and</w:t>
      </w:r>
      <w:r>
        <w:t xml:space="preserve"> </w:t>
      </w:r>
      <w:r>
        <w:rPr>
          <w:b/>
        </w:rPr>
        <w:t xml:space="preserve">FPP</w:t>
      </w:r>
      <w:r>
        <w:t xml:space="preserve"> </w:t>
      </w:r>
      <w:r>
        <w:t xml:space="preserve">is a shorthand for Footer Partition Pack.</w:t>
      </w:r>
    </w:p>
    <w:p>
      <w:pPr>
        <w:pStyle w:val="BodyText"/>
      </w:pPr>
      <w:r>
        <w:t xml:space="preserve">In the source markdown - this shows how to do a figure</w:t>
      </w:r>
    </w:p>
    <w:p>
      <w:pPr>
        <w:pStyle w:val="BodyText"/>
      </w:pPr>
      <w:r>
        <w:drawing>
          <wp:inline>
            <wp:extent cx="5727700" cy="677755"/>
            <wp:effectExtent b="0" l="0" r="0" t="0"/>
            <wp:docPr descr="" title="" id="1" name="Picture"/>
            <a:graphic>
              <a:graphicData uri="http://schemas.openxmlformats.org/drawingml/2006/picture">
                <pic:pic>
                  <pic:nvPicPr>
                    <pic:cNvPr descr="figure-01.png" id="0" name="Picture"/>
                    <pic:cNvPicPr>
                      <a:picLocks noChangeArrowheads="1" noChangeAspect="1"/>
                    </pic:cNvPicPr>
                  </pic:nvPicPr>
                  <pic:blipFill>
                    <a:blip r:embed="rId27"/>
                    <a:stretch>
                      <a:fillRect/>
                    </a:stretch>
                  </pic:blipFill>
                  <pic:spPr bwMode="auto">
                    <a:xfrm>
                      <a:off x="0" y="0"/>
                      <a:ext cx="5727700" cy="677755"/>
                    </a:xfrm>
                    <a:prstGeom prst="rect">
                      <a:avLst/>
                    </a:prstGeom>
                    <a:noFill/>
                    <a:ln w="9525">
                      <a:noFill/>
                      <a:headEnd/>
                      <a:tailEnd/>
                    </a:ln>
                  </pic:spPr>
                </pic:pic>
              </a:graphicData>
            </a:graphic>
          </wp:inline>
        </w:drawing>
      </w:r>
    </w:p>
    <w:p>
      <w:pPr>
        <w:pStyle w:val="BodyText"/>
      </w:pPr>
      <w:r>
        <w:t xml:space="preserve">In the source markdown - this shows how to do a figure caption. In ISO, caption figures are below pictures and table captions are above figures.</w:t>
      </w:r>
      <w:r>
        <w:t xml:space="preserve"> </w:t>
      </w:r>
      <w:r>
        <w:t xml:space="preserve">The syntax starting with</w:t>
      </w:r>
      <w:r>
        <w:t xml:space="preserve"> </w:t>
      </w:r>
      <w:r>
        <w:rPr>
          <w:rStyle w:val="VerbatimChar"/>
        </w:rPr>
        <w:t xml:space="preserve">:::</w:t>
      </w:r>
      <w:r>
        <w:t xml:space="preserve"> </w:t>
      </w:r>
      <w:r>
        <w:t xml:space="preserve">is known as a fence block and creates a section with a paragraph style in word.</w:t>
      </w:r>
    </w:p>
    <w:p>
      <w:pPr>
        <w:pStyle w:val="smpte-caption"/>
      </w:pPr>
      <w:r>
        <w:t xml:space="preserve">Figure 1 - Single Essence Location Style</w:t>
      </w:r>
    </w:p>
    <w:p>
      <w:pPr>
        <w:pStyle w:val="Heading2"/>
      </w:pPr>
      <w:bookmarkStart w:id="28" w:name="heading-2"/>
      <w:r>
        <w:t xml:space="preserve">4.2 Heading 2</w:t>
      </w:r>
      <w:bookmarkEnd w:id="28"/>
    </w:p>
    <w:p>
      <w:pPr>
        <w:pStyle w:val="FirstParagraph"/>
      </w:pPr>
      <w:r>
        <w:t xml:space="preserve">As shown in Figure 1, this style consists of a Header Partition, a Footer Partition, and a Random Index Pack.</w:t>
      </w:r>
    </w:p>
    <w:p>
      <w:pPr>
        <w:pStyle w:val="BodyText"/>
      </w:pPr>
      <w:r>
        <w:t xml:space="preserve">A bulletted list.</w:t>
      </w:r>
    </w:p>
    <w:p>
      <w:pPr>
        <w:numPr>
          <w:ilvl w:val="0"/>
          <w:numId w:val="1001"/>
        </w:numPr>
        <w:pStyle w:val="Compact"/>
      </w:pPr>
      <w:r>
        <w:t xml:space="preserve">It is easy to handle because of a simple structure</w:t>
      </w:r>
    </w:p>
    <w:p>
      <w:pPr>
        <w:numPr>
          <w:ilvl w:val="0"/>
          <w:numId w:val="1001"/>
        </w:numPr>
        <w:pStyle w:val="Compact"/>
      </w:pPr>
      <w:r>
        <w:t xml:space="preserve">It is easy to edit while file transferring</w:t>
      </w:r>
    </w:p>
    <w:p>
      <w:pPr>
        <w:numPr>
          <w:ilvl w:val="0"/>
          <w:numId w:val="1001"/>
        </w:numPr>
        <w:pStyle w:val="Compact"/>
      </w:pPr>
      <w:r>
        <w:t xml:space="preserve">It is easy to select an extract, or a</w:t>
      </w:r>
      <w:r>
        <w:t xml:space="preserve"> </w:t>
      </w:r>
      <w:r>
        <w:t xml:space="preserve">“</w:t>
      </w:r>
      <w:r>
        <w:t xml:space="preserve">Partial file</w:t>
      </w:r>
      <w:r>
        <w:t xml:space="preserve">”</w:t>
      </w:r>
    </w:p>
    <w:p>
      <w:pPr>
        <w:pStyle w:val="FirstParagraph"/>
      </w:pPr>
      <w:r>
        <w:t xml:space="preserve">A numbered list.</w:t>
      </w:r>
    </w:p>
    <w:p>
      <w:pPr>
        <w:numPr>
          <w:ilvl w:val="0"/>
          <w:numId w:val="1002"/>
        </w:numPr>
        <w:pStyle w:val="Compact"/>
      </w:pPr>
      <w:r>
        <w:t xml:space="preserve">Index Table Segment::Single Index Location TRUE (Single Location)</w:t>
      </w:r>
    </w:p>
    <w:p>
      <w:pPr>
        <w:numPr>
          <w:ilvl w:val="0"/>
          <w:numId w:val="1002"/>
        </w:numPr>
        <w:pStyle w:val="Compact"/>
      </w:pPr>
      <w:r>
        <w:t xml:space="preserve">Index Table Segment::Single Location TRUE (Single Location)</w:t>
      </w:r>
    </w:p>
    <w:p>
      <w:pPr>
        <w:numPr>
          <w:ilvl w:val="0"/>
          <w:numId w:val="1002"/>
        </w:numPr>
        <w:pStyle w:val="Compact"/>
      </w:pPr>
      <w:r>
        <w:t xml:space="preserve">Index Table Segment::Forward Index Direction TRUE (Forward)</w:t>
      </w:r>
    </w:p>
    <w:p>
      <w:pPr>
        <w:numPr>
          <w:ilvl w:val="0"/>
          <w:numId w:val="1002"/>
        </w:numPr>
        <w:pStyle w:val="Compact"/>
      </w:pPr>
      <w:r>
        <w:t xml:space="preserve">Preface:: is RIP present TRUE</w:t>
      </w:r>
    </w:p>
    <w:p>
      <w:pPr>
        <w:pStyle w:val="Heading2"/>
      </w:pPr>
      <w:bookmarkStart w:id="29" w:name="code-example"/>
      <w:r>
        <w:t xml:space="preserve">4.3 Code example</w:t>
      </w:r>
      <w:bookmarkEnd w:id="29"/>
    </w:p>
    <w:p>
      <w:pPr>
        <w:pStyle w:val="FirstParagraph"/>
      </w:pPr>
      <w:r>
        <w:t xml:space="preserve">Figure 2 below shows some raw JSON for the term</w:t>
      </w:r>
      <w:r>
        <w:t xml:space="preserve"> </w:t>
      </w:r>
      <w:r>
        <w:rPr>
          <w:rStyle w:val="VerbatimChar"/>
        </w:rPr>
        <w:t xml:space="preserve">Interoperability</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"https://vocabulary.pbs.org/OSAGlossary/63"</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OtherTok"/>
        </w:rPr>
        <w:t xml:space="preserve">[</w:t>
      </w:r>
      <w:r>
        <w:rPr>
          <w:rStyle w:val="StringTok"/>
        </w:rPr>
        <w:t xml:space="preserve">"http://www.w3.org/2004/02/skos/core#Concept"</w:t>
      </w:r>
      <w:r>
        <w:rPr>
          <w:rStyle w:val="OtherTok"/>
        </w:rPr>
        <w:t xml:space="preserve">]</w:t>
      </w:r>
      <w:r>
        <w:rPr>
          <w:rStyle w:val="FunctionTok"/>
        </w:rPr>
        <w:t xml:space="preserve">,</w:t>
      </w:r>
      <w:r>
        <w:br/>
      </w:r>
      <w:r>
        <w:rPr>
          <w:rStyle w:val="NormalTok"/>
        </w:rPr>
        <w:t xml:space="preserve">    </w:t>
      </w:r>
      <w:r>
        <w:rPr>
          <w:rStyle w:val="DataTypeTok"/>
        </w:rPr>
        <w:t xml:space="preserve">"http://purl.org/dc/terms/contributor"</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"https://vocabulary.pbs.org/user/hubbards"</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"http://purl.org/dc/terms/created"</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"http://www.w3.org/2001/XMLSchema#dateTime"</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"2021-05-20T17:36:31.650Z"</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"http://purl.org/dc/terms/creator"</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"https://vocabulary.pbs.org/user/hubbards"</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"http://purl.org/dc/terms/modified"</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"http://www.w3.org/2001/XMLSchema#dateTime"</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"2021-05-21T01:00:15.850Z"</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"http://www.w3.org/2004/02/skos/core#definition"</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"@language"</w:t>
      </w:r>
      <w:r>
        <w:rPr>
          <w:rStyle w:val="FunctionTok"/>
        </w:rPr>
        <w:t xml:space="preserve">:</w:t>
      </w:r>
      <w:r>
        <w:rPr>
          <w:rStyle w:val="NormalTok"/>
        </w:rPr>
        <w:t xml:space="preserve"> </w:t>
      </w:r>
      <w:r>
        <w:rPr>
          <w:rStyle w:val="StringTok"/>
        </w:rPr>
        <w:t xml:space="preserve">"en"</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"NIST: The ability of two or more systems or applications to exchange information and to mutually use the information that has been exchanged."</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"http://www.w3.org/2004/02/skos/core#prefLabel"</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"@language"</w:t>
      </w:r>
      <w:r>
        <w:rPr>
          <w:rStyle w:val="FunctionTok"/>
        </w:rPr>
        <w:t xml:space="preserve">:</w:t>
      </w:r>
      <w:r>
        <w:rPr>
          <w:rStyle w:val="NormalTok"/>
        </w:rPr>
        <w:t xml:space="preserve"> </w:t>
      </w:r>
      <w:r>
        <w:rPr>
          <w:rStyle w:val="StringTok"/>
        </w:rPr>
        <w:t xml:space="preserve">"en"</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"Interoperability"</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"http://www.w3.org/2004/02/skos/core#scopeNote"</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"@language"</w:t>
      </w:r>
      <w:r>
        <w:rPr>
          <w:rStyle w:val="FunctionTok"/>
        </w:rPr>
        <w:t xml:space="preserve">:</w:t>
      </w:r>
      <w:r>
        <w:rPr>
          <w:rStyle w:val="NormalTok"/>
        </w:rPr>
        <w:t xml:space="preserve"> </w:t>
      </w:r>
      <w:r>
        <w:rPr>
          <w:rStyle w:val="StringTok"/>
        </w:rPr>
        <w:t xml:space="preserve">"en"</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"NIST SP 500-XXX: The NIST Cloud Federation Reference Architecture (Draft)"</w:t>
      </w:r>
      <w:r>
        <w:br/>
      </w:r>
      <w:r>
        <w:rPr>
          <w:rStyle w:val="NormalTok"/>
        </w:rPr>
        <w:t xml:space="preserve">    </w:t>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"@language"</w:t>
      </w:r>
      <w:r>
        <w:rPr>
          <w:rStyle w:val="FunctionTok"/>
        </w:rPr>
        <w:t xml:space="preserve">:</w:t>
      </w:r>
      <w:r>
        <w:rPr>
          <w:rStyle w:val="NormalTok"/>
        </w:rPr>
        <w:t xml:space="preserve"> </w:t>
      </w:r>
      <w:r>
        <w:rPr>
          <w:rStyle w:val="StringTok"/>
        </w:rPr>
        <w:t xml:space="preserve">"en"</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"OSA Vocabulary Group (Proposed)"</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"http://www.w3.org/2004/02/skos/core#topConceptOf"</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"https://vocabulary.pbs.org/OSAGlossary/0"</w:t>
      </w:r>
      <w:r>
        <w:br/>
      </w:r>
      <w:r>
        <w:rPr>
          <w:rStyle w:val="NormalTok"/>
        </w:rPr>
        <w:t xml:space="preserve">    </w:t>
      </w:r>
      <w:r>
        <w:rPr>
          <w:rStyle w:val="FunctionTok"/>
        </w:rPr>
        <w:t xml:space="preserve">}</w:t>
      </w:r>
      <w:r>
        <w:rPr>
          <w:rStyle w:val="OtherTok"/>
        </w:rPr>
        <w:t xml:space="preserve">]</w:t>
      </w:r>
      <w:r>
        <w:br/>
      </w:r>
      <w:r>
        <w:rPr>
          <w:rStyle w:val="FunctionTok"/>
        </w:rPr>
        <w:t xml:space="preserve">}</w:t>
      </w:r>
    </w:p>
    <w:p>
      <w:pPr>
        <w:pStyle w:val="smpte-caption"/>
      </w:pPr>
      <w:r>
        <w:t xml:space="preserve">Figure 2 - JSON in the raw</w:t>
      </w:r>
    </w:p>
    <w:p>
      <w:pPr>
        <w:pStyle w:val="smpte-caption"/>
      </w:pPr>
      <w:r>
        <w:t xml:space="preserve">Table 1 - Output from raw JSON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Definition (too complex with Pandoc}</w:t>
            </w:r>
          </w:p>
        </w:tc>
      </w:tr>
      <w:tr>
        <w:tc>
          <w:p>
            <w:pPr>
              <w:pStyle w:val="Compact"/>
              <w:jc w:val="left"/>
            </w:pPr>
            <w:r>
              <w:t xml:space="preserve">Interoperability</w:t>
            </w:r>
          </w:p>
        </w:tc>
        <w:tc>
          <w:p>
            <w:pPr>
              <w:pStyle w:val="Compact"/>
              <w:jc w:val="left"/>
            </w:pPr>
            <w:r>
              <w:t xml:space="preserve">No substitution possible</w:t>
            </w:r>
          </w:p>
        </w:tc>
      </w:tr>
    </w:tbl>
    <w:p>
      <w:pPr>
        <w:pStyle w:val="BodyText"/>
      </w:pPr>
      <w:r>
        <w:t xml:space="preserve">Figure 3 below shows an alternative</w:t>
      </w:r>
      <w:r>
        <w:t xml:space="preserve"> </w:t>
      </w:r>
      <w:r>
        <w:rPr>
          <w:i/>
        </w:rPr>
        <w:t xml:space="preserve">smunched</w:t>
      </w:r>
      <w:r>
        <w:t xml:space="preserve"> </w:t>
      </w:r>
      <w:r>
        <w:t xml:space="preserve">version of the</w:t>
      </w:r>
      <w:r>
        <w:t xml:space="preserve"> </w:t>
      </w:r>
      <w:r>
        <w:rPr>
          <w:rStyle w:val="VerbatimChar"/>
        </w:rPr>
        <w:t xml:space="preserve">.jsonld</w:t>
      </w:r>
      <w:r>
        <w:t xml:space="preserve"> </w:t>
      </w:r>
      <w:r>
        <w:t xml:space="preserve">file to make the documents easier to generate.</w:t>
      </w:r>
      <w:r>
        <w:t xml:space="preserve"> </w:t>
      </w:r>
      <w:r>
        <w:t xml:space="preserve">Basically it rearranges the JSON so that it’s easy for a human to reference a term rather than manage an abstract</w:t>
      </w:r>
      <w:r>
        <w:t xml:space="preserve"> </w:t>
      </w:r>
      <w:r>
        <w:t xml:space="preserve">list of terms with generic relationships.</w:t>
      </w:r>
    </w:p>
    <w:p>
      <w:pPr>
        <w:pStyle w:val="SourceCode"/>
      </w:pPr>
      <w:r>
        <w:rPr>
          <w:rStyle w:val="FunctionTok"/>
        </w:rPr>
        <w:t xml:space="preserve">{</w:t>
      </w:r>
      <w:r>
        <w:br/>
      </w:r>
      <w:r>
        <w:rPr>
          <w:rStyle w:val="NormalTok"/>
        </w:rPr>
        <w:t xml:space="preserve">  </w:t>
      </w:r>
      <w:r>
        <w:rPr>
          <w:rStyle w:val="DataTypeTok"/>
        </w:rPr>
        <w:t xml:space="preserve">"Interoperability"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"63"</w:t>
      </w:r>
      <w:r>
        <w:rPr>
          <w:rStyle w:val="FunctionTok"/>
        </w:rPr>
        <w:t xml:space="preserve">,</w:t>
      </w:r>
      <w:r>
        <w:br/>
      </w:r>
      <w:r>
        <w:rPr>
          <w:rStyle w:val="NormalTok"/>
        </w:rPr>
        <w:t xml:space="preserve">    </w:t>
      </w:r>
      <w:r>
        <w:rPr>
          <w:rStyle w:val="DataTypeTok"/>
        </w:rPr>
        <w:t xml:space="preserve">"contributor"</w:t>
      </w:r>
      <w:r>
        <w:rPr>
          <w:rStyle w:val="FunctionTok"/>
        </w:rPr>
        <w:t xml:space="preserve">:</w:t>
      </w:r>
      <w:r>
        <w:rPr>
          <w:rStyle w:val="NormalTok"/>
        </w:rPr>
        <w:t xml:space="preserve"> </w:t>
      </w:r>
      <w:r>
        <w:rPr>
          <w:rStyle w:val="StringTok"/>
        </w:rPr>
        <w:t xml:space="preserve">"hubbards"</w:t>
      </w:r>
      <w:r>
        <w:rPr>
          <w:rStyle w:val="FunctionTok"/>
        </w:rPr>
        <w:t xml:space="preserve">,</w:t>
      </w:r>
      <w:r>
        <w:br/>
      </w:r>
      <w:r>
        <w:rPr>
          <w:rStyle w:val="NormalTok"/>
        </w:rPr>
        <w:t xml:space="preserve">    </w:t>
      </w:r>
      <w:r>
        <w:rPr>
          <w:rStyle w:val="DataTypeTok"/>
        </w:rPr>
        <w:t xml:space="preserve">"definition"</w:t>
      </w:r>
      <w:r>
        <w:rPr>
          <w:rStyle w:val="FunctionTok"/>
        </w:rPr>
        <w:t xml:space="preserve">:</w:t>
      </w:r>
      <w:r>
        <w:rPr>
          <w:rStyle w:val="NormalTok"/>
        </w:rPr>
        <w:t xml:space="preserve"> </w:t>
      </w:r>
      <w:r>
        <w:rPr>
          <w:rStyle w:val="StringTok"/>
        </w:rPr>
        <w:t xml:space="preserve">"NIST: The ability of two or more systems or applications to exchange information and to mutually use the information that has been exchanged."</w:t>
      </w:r>
      <w:r>
        <w:rPr>
          <w:rStyle w:val="FunctionTok"/>
        </w:rPr>
        <w:t xml:space="preserve">,</w:t>
      </w:r>
      <w:r>
        <w:br/>
      </w:r>
      <w:r>
        <w:rPr>
          <w:rStyle w:val="NormalTok"/>
        </w:rPr>
        <w:t xml:space="preserve">    </w:t>
      </w:r>
      <w:r>
        <w:rPr>
          <w:rStyle w:val="DataTypeTok"/>
        </w:rPr>
        <w:t xml:space="preserve">"label"</w:t>
      </w:r>
      <w:r>
        <w:rPr>
          <w:rStyle w:val="FunctionTok"/>
        </w:rPr>
        <w:t xml:space="preserve">:</w:t>
      </w:r>
      <w:r>
        <w:rPr>
          <w:rStyle w:val="NormalTok"/>
        </w:rPr>
        <w:t xml:space="preserve"> </w:t>
      </w:r>
      <w:r>
        <w:rPr>
          <w:rStyle w:val="StringTok"/>
        </w:rPr>
        <w:t xml:space="preserve">"Interoperability"</w:t>
      </w:r>
      <w:r>
        <w:rPr>
          <w:rStyle w:val="FunctionTok"/>
        </w:rPr>
        <w:t xml:space="preserve">,</w:t>
      </w:r>
      <w:r>
        <w:br/>
      </w:r>
      <w:r>
        <w:rPr>
          <w:rStyle w:val="NormalTok"/>
        </w:rPr>
        <w:t xml:space="preserve">    </w:t>
      </w:r>
      <w:r>
        <w:rPr>
          <w:rStyle w:val="DataTypeTok"/>
        </w:rPr>
        <w:t xml:space="preserve">"note"</w:t>
      </w:r>
      <w:r>
        <w:rPr>
          <w:rStyle w:val="FunctionTok"/>
        </w:rPr>
        <w:t xml:space="preserve">:</w:t>
      </w:r>
      <w:r>
        <w:rPr>
          <w:rStyle w:val="NormalTok"/>
        </w:rPr>
        <w:t xml:space="preserve"> </w:t>
      </w:r>
      <w:r>
        <w:rPr>
          <w:rStyle w:val="StringTok"/>
        </w:rPr>
        <w:t xml:space="preserve">"NIST SP 500-XXX: The NIST Cloud Federation Reference Architecture (Draft)"</w:t>
      </w:r>
      <w:r>
        <w:rPr>
          <w:rStyle w:val="FunctionTok"/>
        </w:rPr>
        <w:t xml:space="preserve">,</w:t>
      </w:r>
      <w:r>
        <w:br/>
      </w:r>
      <w:r>
        <w:rPr>
          <w:rStyle w:val="NormalTok"/>
        </w:rPr>
        <w:t xml:space="preserve">    </w:t>
      </w:r>
      <w:r>
        <w:rPr>
          <w:rStyle w:val="DataTypeTok"/>
        </w:rPr>
        <w:t xml:space="preserve">"status"</w:t>
      </w:r>
      <w:r>
        <w:rPr>
          <w:rStyle w:val="FunctionTok"/>
        </w:rPr>
        <w:t xml:space="preserve">:</w:t>
      </w:r>
      <w:r>
        <w:rPr>
          <w:rStyle w:val="NormalTok"/>
        </w:rPr>
        <w:t xml:space="preserve"> </w:t>
      </w:r>
      <w:r>
        <w:rPr>
          <w:rStyle w:val="StringTok"/>
        </w:rPr>
        <w:t xml:space="preserve">"Proposed"</w:t>
      </w:r>
      <w:r>
        <w:br/>
      </w:r>
      <w:r>
        <w:rPr>
          <w:rStyle w:val="NormalTok"/>
        </w:rPr>
        <w:t xml:space="preserve">  </w:t>
      </w:r>
      <w:r>
        <w:rPr>
          <w:rStyle w:val="FunctionTok"/>
        </w:rPr>
        <w:t xml:space="preserve">}</w:t>
      </w:r>
      <w:r>
        <w:br/>
      </w:r>
      <w:r>
        <w:rPr>
          <w:rStyle w:val="FunctionTok"/>
        </w:rPr>
        <w:t xml:space="preserve">}</w:t>
      </w:r>
    </w:p>
    <w:p>
      <w:pPr>
        <w:pStyle w:val="smpte-caption"/>
      </w:pPr>
      <w:r>
        <w:t xml:space="preserve">Figure 3 - smunched JSON</w:t>
      </w:r>
    </w:p>
    <w:p>
      <w:pPr>
        <w:pStyle w:val="smpte-caption"/>
      </w:pPr>
      <w:r>
        <w:t xml:space="preserve">Table 2 - Output from smunched JSON</w:t>
      </w:r>
    </w:p>
    <w:tbl>
      <w:tblPr>
        <w:tblStyle w:val="Table"/>
        <w:tblW w:type="pct" w:w="5000.0"/>
        <w:tblLook w:firstRow="1" w:lastRow="0" w:firstColumn="0" w:lastColumn="0" w:noHBand="0" w:noVBand="0"/>
      </w:tblPr>
      <w:tblGrid>
        <w:gridCol w:w="2394"/>
        <w:gridCol w:w="1657"/>
        <w:gridCol w:w="3499"/>
        <w:gridCol w:w="368"/>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Definition</w:t>
            </w:r>
          </w:p>
        </w:tc>
        <w:tc>
          <w:tcPr>
            <w:tcBorders>
              <w:bottom w:val="single"/>
            </w:tcBorders>
            <w:vAlign w:val="bottom"/>
          </w:tcPr>
          <w:p>
            <w:pPr>
              <w:pStyle w:val="Compact"/>
              <w:jc w:val="left"/>
            </w:pPr>
            <w:r>
              <w:t xml:space="preserve">Note</w:t>
            </w:r>
          </w:p>
        </w:tc>
      </w:tr>
      <w:tr>
        <w:tc>
          <w:p>
            <w:pPr>
              <w:pStyle w:val="Compact"/>
              <w:jc w:val="left"/>
            </w:pPr>
            <w:r>
              <w:t xml:space="preserve">63</w:t>
            </w:r>
          </w:p>
        </w:tc>
        <w:tc>
          <w:p>
            <w:pPr>
              <w:pStyle w:val="Compact"/>
              <w:jc w:val="left"/>
            </w:pPr>
            <w:r>
              <w:t xml:space="preserve">Interoperability</w:t>
            </w:r>
          </w:p>
        </w:tc>
        <w:tc>
          <w:p>
            <w:pPr>
              <w:pStyle w:val="Compact"/>
              <w:jc w:val="left"/>
            </w:pPr>
            <w:r>
              <w:t xml:space="preserve">NIST: The ability of two or more systems or applications to exchange information and to mutually use the information that has been exchanged.</w:t>
            </w:r>
          </w:p>
        </w:tc>
        <w:tc>
          <w:p>
            <w:pPr>
              <w:pStyle w:val="Compact"/>
              <w:jc w:val="left"/>
            </w:pPr>
            <w:r>
              <w:t xml:space="preserve">NIST SP 500-XXX: The NIST Cloud Federation Reference Architecture (Draft)</w:t>
            </w:r>
          </w:p>
        </w:tc>
      </w:tr>
    </w:tbl>
    <w:sectPr w:rsidR="000F51DE" w:rsidRPr="000F51DE" w:rsidSect="00FF4A81">
      <w:footerReference w:type="default" r:id="rId10"/>
      <w:headerReference w:type="first" r:id="rId9"/>
      <w:footerReference w:type="first" r:id="rId11"/>
      <w:pgSz w:w="11906" w:h="16838"/>
      <w:pgMar w:top="1299" w:right="1440" w:bottom="1440" w:left="1440" w:header="708" w:footer="708" w:gutter="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old">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Maven Pro">
    <w:panose1 w:val="00000500000000000000"/>
    <w:charset w:val="00"/>
    <w:family w:val="auto"/>
    <w:pitch w:val="variable"/>
    <w:sig w:usb0="2000000F" w:usb1="00000001" w:usb2="00000000" w:usb3="00000000" w:csb0="00000193"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5BA071" w14:textId="7911EB92" w:rsidR="00DC2581" w:rsidRPr="007B4A54" w:rsidRDefault="007B4A54" w:rsidP="000C045B">
    <w:pPr>
      <w:tabs>
        <w:tab w:val="center" w:pos="4536"/>
        <w:tab w:val="right" w:pos="9026"/>
      </w:tabs>
      <w:rPr>
        <w:lang w:val="en-US"/>
      </w:rPr>
    </w:pPr>
    <w:r w:rsidRPr="007B4A54">
      <w:rPr>
        <w:lang w:val="en-US"/>
      </w:rPr>
      <w:t xml:space="preserve">Page </w:t>
    </w:r>
    <w:r w:rsidRPr="007B4A54">
      <w:rPr>
        <w:lang w:val="en-US"/>
      </w:rPr>
      <w:fldChar w:fldCharType="begin"/>
    </w:r>
    <w:r w:rsidRPr="007B4A54">
      <w:rPr>
        <w:lang w:val="en-US"/>
      </w:rPr>
      <w:instrText xml:space="preserve"> PAGE </w:instrText>
    </w:r>
    <w:r w:rsidRPr="007B4A54">
      <w:rPr>
        <w:lang w:val="en-US"/>
      </w:rPr>
      <w:fldChar w:fldCharType="separate"/>
    </w:r>
    <w:r w:rsidRPr="007B4A54">
      <w:rPr>
        <w:lang w:val="en-US"/>
      </w:rPr>
      <w:t>2</w:t>
    </w:r>
    <w:r w:rsidRPr="007B4A54">
      <w:rPr>
        <w:lang w:val="en-US"/>
      </w:rPr>
      <w:fldChar w:fldCharType="end"/>
    </w:r>
    <w:r w:rsidRPr="007B4A54">
      <w:rPr>
        <w:lang w:val="en-US"/>
      </w:rPr>
      <w:t xml:space="preserve"> of </w:t>
    </w:r>
    <w:r w:rsidRPr="007B4A54">
      <w:rPr>
        <w:lang w:val="en-US"/>
      </w:rPr>
      <w:fldChar w:fldCharType="begin"/>
    </w:r>
    <w:r w:rsidRPr="007B4A54">
      <w:rPr>
        <w:lang w:val="en-US"/>
      </w:rPr>
      <w:instrText xml:space="preserve"> NUMPAGES </w:instrText>
    </w:r>
    <w:r w:rsidRPr="007B4A54">
      <w:rPr>
        <w:lang w:val="en-US"/>
      </w:rPr>
      <w:fldChar w:fldCharType="separate"/>
    </w:r>
    <w:r w:rsidRPr="007B4A54">
      <w:rPr>
        <w:lang w:val="en-US"/>
      </w:rPr>
      <w:t>6</w:t>
    </w:r>
    <w:r w:rsidRPr="007B4A54">
      <w:rPr>
        <w:lang w:val="en-US"/>
      </w:rPr>
      <w:fldChar w:fldCharType="end"/>
    </w:r>
    <w:r w:rsidRPr="007B4A54">
      <w:rPr>
        <w:noProof/>
        <w:lang w:val="en-US"/>
      </w:rPr>
      <w:tab/>
    </w:r>
    <w:r w:rsidRPr="007B4A54">
      <w:rPr>
        <w:noProof/>
        <w:lang w:val="en-US"/>
      </w:rPr>
      <w:tab/>
    </w:r>
    <w:r w:rsidRPr="007B4A54">
      <w:rPr>
        <w:lang w:val="en-US"/>
      </w:rPr>
      <w:t xml:space="preserve">© SMPTE </w:t>
    </w:r>
    <w:r w:rsidR="00864F8D">
      <w:rPr>
        <w:lang w:val="en-US"/>
      </w:rPr>
      <w:fldChar w:fldCharType="begin"/>
    </w:r>
    <w:r w:rsidR="00864F8D">
      <w:rPr>
        <w:lang w:val="en-US"/>
      </w:rPr>
      <w:instrText xml:space="preserve"> SAVEDATE  \@ "yyyy"  \* MERGEFORMAT </w:instrText>
    </w:r>
    <w:r w:rsidR="00864F8D">
      <w:rPr>
        <w:lang w:val="en-US"/>
      </w:rPr>
      <w:fldChar w:fldCharType="separate"/>
    </w:r>
    <w:r w:rsidR="00814AE0">
      <w:rPr>
        <w:noProof/>
        <w:lang w:val="en-US"/>
      </w:rPr>
      <w:t>2021</w:t>
    </w:r>
    <w:r w:rsidR="00864F8D">
      <w:rPr>
        <w:lang w:val="en-US"/>
      </w:rPr>
      <w:fldChar w:fldCharType="end"/>
    </w:r>
    <w:r w:rsidRPr="007B4A54">
      <w:rPr>
        <w:lang w:val="en-US"/>
      </w:rPr>
      <w:t xml:space="preserve"> –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74DC04" w14:textId="01021CB8" w:rsidR="00FF4A81" w:rsidRPr="0000582A" w:rsidRDefault="00FF4A81" w:rsidP="0000582A">
    <w:pPr>
      <w:pStyle w:val="Footer"/>
    </w:pPr>
    <w:r w:rsidRPr="00A81AA4">
      <w:t xml:space="preserve">Copyright © </w:t>
    </w:r>
    <w:r w:rsidR="00864F8D">
      <w:fldChar w:fldCharType="begin"/>
    </w:r>
    <w:r w:rsidR="00864F8D">
      <w:instrText xml:space="preserve"> SAVEDATE  \@ "yyyy"  \* MERGEFORMAT </w:instrText>
    </w:r>
    <w:r w:rsidR="00864F8D">
      <w:fldChar w:fldCharType="separate"/>
    </w:r>
    <w:r w:rsidR="00814AE0">
      <w:rPr>
        <w:noProof/>
      </w:rPr>
      <w:t>2021</w:t>
    </w:r>
    <w:r w:rsidR="00864F8D">
      <w:fldChar w:fldCharType="end"/>
    </w:r>
    <w:r w:rsidRPr="00A81AA4">
      <w:t xml:space="preserve"> by THE SOCIETY OF MOTION PICTURE </w:t>
    </w:r>
    <w:r w:rsidRPr="0000582A">
      <w:t>AND TELEVISION ENGINEERS</w:t>
    </w:r>
    <w:r w:rsidRPr="0000582A">
      <w:tab/>
      <w:t>Approved Month, Year</w:t>
    </w:r>
  </w:p>
  <w:p w14:paraId="7E2972C5" w14:textId="77777777" w:rsidR="00FF4A81" w:rsidRPr="0000582A" w:rsidRDefault="00FF4A81" w:rsidP="0000582A">
    <w:pPr>
      <w:pStyle w:val="Footer"/>
    </w:pPr>
    <w:r w:rsidRPr="0000582A">
      <w:t>445 Hamilton Avenue., White Plains, NY 10601</w:t>
    </w:r>
  </w:p>
  <w:p w14:paraId="6A94893A" w14:textId="7DC6796E" w:rsidR="007B4A54" w:rsidRPr="0000582A" w:rsidRDefault="002D35B9" w:rsidP="0000582A">
    <w:pPr>
      <w:pStyle w:val="Footer"/>
    </w:pPr>
    <w:r>
      <w:t>+1</w:t>
    </w:r>
    <w:r w:rsidR="00336839" w:rsidRPr="0000582A">
      <w:t xml:space="preserve"> </w:t>
    </w:r>
    <w:r w:rsidR="00FF4A81" w:rsidRPr="0000582A">
      <w:t>(914) 761-1100</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CBA0B2" w14:textId="45B66E00" w:rsidR="007B4A54" w:rsidRDefault="00712AF3">
    <w:pPr>
      <w:pStyle w:val="Header"/>
    </w:pPr>
    <w:r>
      <w:rPr>
        <w:noProof/>
      </w:rPr>
      <w:drawing>
        <wp:anchor distT="0" distB="0" distL="114300" distR="114300" simplePos="0" relativeHeight="251659264" behindDoc="0" locked="0" layoutInCell="1" allowOverlap="1" wp14:anchorId="02A6D16B" wp14:editId="7C2F23A0">
          <wp:simplePos x="0" y="0"/>
          <wp:positionH relativeFrom="column">
            <wp:posOffset>4842345</wp:posOffset>
          </wp:positionH>
          <wp:positionV relativeFrom="paragraph">
            <wp:posOffset>786544</wp:posOffset>
          </wp:positionV>
          <wp:extent cx="580310" cy="627362"/>
          <wp:effectExtent l="0" t="0" r="0" b="1905"/>
          <wp:wrapNone/>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80310" cy="62736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386F81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BB4048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A14391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A66DC8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4DE771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F985BE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266471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164C0E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068EDE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998D91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DE65BC"/>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0EBF792F"/>
    <w:multiLevelType w:val="hybridMultilevel"/>
    <w:tmpl w:val="868E9A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11B731F"/>
    <w:multiLevelType w:val="multilevel"/>
    <w:tmpl w:val="6ED459A6"/>
    <w:lvl w:ilvl="0">
      <w:start w:val="1"/>
      <w:numFmt w:val="none"/>
      <w:suff w:val="nothing"/>
      <w:lvlText w:val="%1"/>
      <w:lvlJc w:val="left"/>
      <w:rPr>
        <w:rFonts w:cs="Times New Roman" w:hint="default"/>
      </w:rPr>
    </w:lvl>
    <w:lvl w:ilvl="1">
      <w:start w:val="1"/>
      <w:numFmt w:val="decimal"/>
      <w:pStyle w:val="NormalNumbered"/>
      <w:lvlText w:val="%2."/>
      <w:lvlJc w:val="left"/>
      <w:pPr>
        <w:tabs>
          <w:tab w:val="num" w:pos="360"/>
        </w:tabs>
        <w:ind w:left="357" w:hanging="357"/>
      </w:pPr>
      <w:rPr>
        <w:rFonts w:cs="Times New Roman" w:hint="default"/>
      </w:rPr>
    </w:lvl>
    <w:lvl w:ilvl="2">
      <w:start w:val="1"/>
      <w:numFmt w:val="lowerLetter"/>
      <w:pStyle w:val="NormalAlphabet"/>
      <w:lvlText w:val="(%3)"/>
      <w:lvlJc w:val="left"/>
      <w:pPr>
        <w:tabs>
          <w:tab w:val="num" w:pos="720"/>
        </w:tabs>
        <w:ind w:left="720" w:hanging="363"/>
      </w:pPr>
      <w:rPr>
        <w:rFonts w:cs="Times New Roman" w:hint="default"/>
      </w:rPr>
    </w:lvl>
    <w:lvl w:ilvl="3">
      <w:start w:val="1"/>
      <w:numFmt w:val="none"/>
      <w:lvlText w:val=""/>
      <w:lvlJc w:val="left"/>
      <w:pPr>
        <w:tabs>
          <w:tab w:val="num" w:pos="864"/>
        </w:tabs>
        <w:ind w:left="864" w:hanging="864"/>
      </w:pPr>
      <w:rPr>
        <w:rFonts w:cs="Times New Roman" w:hint="default"/>
      </w:rPr>
    </w:lvl>
    <w:lvl w:ilvl="4">
      <w:start w:val="1"/>
      <w:numFmt w:val="none"/>
      <w:lvlText w:val=""/>
      <w:lvlJc w:val="left"/>
      <w:pPr>
        <w:tabs>
          <w:tab w:val="num" w:pos="1008"/>
        </w:tabs>
        <w:ind w:left="1008" w:hanging="1008"/>
      </w:pPr>
      <w:rPr>
        <w:rFonts w:cs="Times New Roman" w:hint="default"/>
      </w:rPr>
    </w:lvl>
    <w:lvl w:ilvl="5">
      <w:start w:val="1"/>
      <w:numFmt w:val="none"/>
      <w:lvlText w:val=""/>
      <w:lvlJc w:val="left"/>
      <w:pPr>
        <w:tabs>
          <w:tab w:val="num" w:pos="1152"/>
        </w:tabs>
        <w:ind w:left="1152" w:hanging="1152"/>
      </w:pPr>
      <w:rPr>
        <w:rFonts w:cs="Times New Roman" w:hint="default"/>
      </w:rPr>
    </w:lvl>
    <w:lvl w:ilvl="6">
      <w:start w:val="1"/>
      <w:numFmt w:val="none"/>
      <w:lvlText w:val=""/>
      <w:lvlJc w:val="left"/>
      <w:pPr>
        <w:tabs>
          <w:tab w:val="num" w:pos="1296"/>
        </w:tabs>
        <w:ind w:left="1296" w:hanging="1296"/>
      </w:pPr>
      <w:rPr>
        <w:rFonts w:cs="Times New Roman" w:hint="default"/>
      </w:rPr>
    </w:lvl>
    <w:lvl w:ilvl="7">
      <w:start w:val="1"/>
      <w:numFmt w:val="none"/>
      <w:lvlText w:val=""/>
      <w:lvlJc w:val="left"/>
      <w:pPr>
        <w:tabs>
          <w:tab w:val="num" w:pos="1440"/>
        </w:tabs>
        <w:ind w:left="1440" w:hanging="1440"/>
      </w:pPr>
      <w:rPr>
        <w:rFonts w:cs="Times New Roman" w:hint="default"/>
      </w:rPr>
    </w:lvl>
    <w:lvl w:ilvl="8">
      <w:start w:val="1"/>
      <w:numFmt w:val="none"/>
      <w:lvlText w:val=""/>
      <w:lvlJc w:val="left"/>
      <w:pPr>
        <w:tabs>
          <w:tab w:val="num" w:pos="1584"/>
        </w:tabs>
        <w:ind w:left="1584" w:hanging="1584"/>
      </w:pPr>
      <w:rPr>
        <w:rFonts w:cs="Times New Roman" w:hint="default"/>
      </w:rPr>
    </w:lvl>
  </w:abstractNum>
  <w:abstractNum w:abstractNumId="13" w15:restartNumberingAfterBreak="0">
    <w:nsid w:val="2C1AE401"/>
    <w:multiLevelType w:val="multilevel"/>
    <w:tmpl w:val="DDDCEC4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588A5BC8"/>
    <w:multiLevelType w:val="multilevel"/>
    <w:tmpl w:val="4AA063E2"/>
    <w:name w:val="smpte-list"/>
    <w:lvl w:ilvl="0">
      <w:start w:val="1"/>
      <w:numFmt w:val="decimal"/>
      <w:pStyle w:val="ListParagraph"/>
      <w:lvlText w:val="%1."/>
      <w:lvlJc w:val="left"/>
      <w:pPr>
        <w:tabs>
          <w:tab w:val="num" w:pos="567"/>
        </w:tabs>
        <w:ind w:left="567" w:hanging="283"/>
      </w:pPr>
      <w:rPr>
        <w:rFonts w:hint="default"/>
      </w:rPr>
    </w:lvl>
    <w:lvl w:ilvl="1">
      <w:start w:val="1"/>
      <w:numFmt w:val="lowerLetter"/>
      <w:lvlText w:val="%2."/>
      <w:lvlJc w:val="left"/>
      <w:pPr>
        <w:tabs>
          <w:tab w:val="num" w:pos="851"/>
        </w:tabs>
        <w:ind w:left="851" w:hanging="284"/>
      </w:pPr>
      <w:rPr>
        <w:rFonts w:hint="default"/>
      </w:rPr>
    </w:lvl>
    <w:lvl w:ilvl="2">
      <w:start w:val="1"/>
      <w:numFmt w:val="lowerRoman"/>
      <w:lvlText w:val="%3."/>
      <w:lvlJc w:val="right"/>
      <w:pPr>
        <w:tabs>
          <w:tab w:val="num" w:pos="1134"/>
        </w:tabs>
        <w:ind w:left="1135" w:hanging="283"/>
      </w:pPr>
      <w:rPr>
        <w:rFonts w:hint="default"/>
      </w:rPr>
    </w:lvl>
    <w:lvl w:ilvl="3">
      <w:start w:val="1"/>
      <w:numFmt w:val="bullet"/>
      <w:lvlText w:val=""/>
      <w:lvlJc w:val="left"/>
      <w:pPr>
        <w:ind w:left="1419" w:hanging="283"/>
      </w:pPr>
      <w:rPr>
        <w:rFonts w:ascii="Symbol" w:hAnsi="Symbol" w:hint="default"/>
      </w:rPr>
    </w:lvl>
    <w:lvl w:ilvl="4">
      <w:start w:val="1"/>
      <w:numFmt w:val="bullet"/>
      <w:lvlText w:val=""/>
      <w:lvlJc w:val="left"/>
      <w:pPr>
        <w:tabs>
          <w:tab w:val="num" w:pos="1701"/>
        </w:tabs>
        <w:ind w:left="1703" w:hanging="283"/>
      </w:pPr>
      <w:rPr>
        <w:rFonts w:ascii="Symbol" w:hAnsi="Symbol" w:hint="default"/>
      </w:rPr>
    </w:lvl>
    <w:lvl w:ilvl="5">
      <w:start w:val="1"/>
      <w:numFmt w:val="lowerRoman"/>
      <w:lvlText w:val="%6."/>
      <w:lvlJc w:val="right"/>
      <w:pPr>
        <w:ind w:left="1987" w:hanging="283"/>
      </w:pPr>
      <w:rPr>
        <w:rFonts w:hint="default"/>
      </w:rPr>
    </w:lvl>
    <w:lvl w:ilvl="6">
      <w:start w:val="1"/>
      <w:numFmt w:val="decimal"/>
      <w:lvlText w:val="%7."/>
      <w:lvlJc w:val="left"/>
      <w:pPr>
        <w:ind w:left="2271" w:hanging="283"/>
      </w:pPr>
      <w:rPr>
        <w:rFonts w:hint="default"/>
      </w:rPr>
    </w:lvl>
    <w:lvl w:ilvl="7">
      <w:start w:val="1"/>
      <w:numFmt w:val="lowerLetter"/>
      <w:lvlText w:val="%8."/>
      <w:lvlJc w:val="left"/>
      <w:pPr>
        <w:ind w:left="2555" w:hanging="283"/>
      </w:pPr>
      <w:rPr>
        <w:rFonts w:hint="default"/>
      </w:rPr>
    </w:lvl>
    <w:lvl w:ilvl="8">
      <w:start w:val="1"/>
      <w:numFmt w:val="lowerRoman"/>
      <w:lvlText w:val="%9."/>
      <w:lvlJc w:val="right"/>
      <w:pPr>
        <w:ind w:left="2839" w:hanging="283"/>
      </w:pPr>
      <w:rPr>
        <w:rFonts w:hint="default"/>
      </w:rPr>
    </w:lvl>
  </w:abstractNum>
  <w:abstractNum w:abstractNumId="15" w15:restartNumberingAfterBreak="0">
    <w:nsid w:val="63877D56"/>
    <w:multiLevelType w:val="hybridMultilevel"/>
    <w:tmpl w:val="1E060E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4A608D9"/>
    <w:multiLevelType w:val="hybridMultilevel"/>
    <w:tmpl w:val="B198BAAE"/>
    <w:lvl w:ilvl="0" w:tplc="4E3A947A">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5BE71B0"/>
    <w:multiLevelType w:val="hybridMultilevel"/>
    <w:tmpl w:val="BE8CBA82"/>
    <w:lvl w:ilvl="0" w:tplc="AD4CAFB0">
      <w:start w:val="1"/>
      <w:numFmt w:val="bullet"/>
      <w:lvlText w:val=""/>
      <w:lvlJc w:val="left"/>
      <w:pPr>
        <w:ind w:left="720" w:hanging="360"/>
      </w:pPr>
      <w:rPr>
        <w:rFonts w:ascii="Symbol" w:hAnsi="Symbol" w:hint="default"/>
      </w:rPr>
    </w:lvl>
    <w:lvl w:ilvl="1" w:tplc="F1CE2D94">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2"/>
  </w:num>
  <w:num w:numId="2">
    <w:abstractNumId w:val="10"/>
  </w:num>
  <w:num w:numId="3">
    <w:abstractNumId w:val="13"/>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1"/>
  </w:num>
  <w:num w:numId="15">
    <w:abstractNumId w:val="16"/>
  </w:num>
  <w:num w:numId="16">
    <w:abstractNumId w:val="15"/>
  </w:num>
  <w:num w:numId="17">
    <w:abstractNumId w:val="17"/>
  </w:num>
  <w:num w:numId="18">
    <w:abstractNumId w:val="14"/>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4AE0"/>
    <w:pPr>
      <w:spacing w:before="80" w:after="80" w:line="240" w:lineRule="auto"/>
    </w:pPr>
    <w:rPr>
      <w:rFonts w:ascii="Cambria" w:hAnsi="Cambria"/>
      <w:sz w:val="24"/>
      <w:szCs w:val="20"/>
    </w:rPr>
  </w:style>
  <w:style w:type="paragraph" w:styleId="Heading1">
    <w:name w:val="heading 1"/>
    <w:next w:val="Normal"/>
    <w:link w:val="Heading1Char"/>
    <w:uiPriority w:val="99"/>
    <w:qFormat/>
    <w:rsid w:val="00147AC8"/>
    <w:pPr>
      <w:keepNext/>
      <w:spacing w:before="320" w:line="240" w:lineRule="auto"/>
      <w:ind w:left="357" w:hanging="357"/>
      <w:jc w:val="both"/>
      <w:outlineLvl w:val="0"/>
    </w:pPr>
    <w:rPr>
      <w:rFonts w:ascii="Cambria" w:eastAsia="Times New Roman" w:hAnsi="Cambria" w:cs="Arial Bold"/>
      <w:b/>
      <w:bCs/>
      <w:sz w:val="28"/>
      <w:szCs w:val="18"/>
    </w:rPr>
  </w:style>
  <w:style w:type="paragraph" w:styleId="Heading2">
    <w:name w:val="heading 2"/>
    <w:basedOn w:val="Heading1"/>
    <w:next w:val="Normal"/>
    <w:link w:val="Heading2Char"/>
    <w:uiPriority w:val="9"/>
    <w:unhideWhenUsed/>
    <w:qFormat/>
    <w:rsid w:val="00655E4E"/>
    <w:pPr>
      <w:keepLines/>
      <w:numPr>
        <w:ilvl w:val="1"/>
      </w:numPr>
      <w:spacing w:after="120" w:line="276" w:lineRule="auto"/>
      <w:ind w:left="357" w:hanging="357"/>
      <w:jc w:val="left"/>
      <w:outlineLvl w:val="1"/>
    </w:pPr>
    <w:rPr>
      <w:rFonts w:eastAsiaTheme="majorEastAsia" w:cstheme="majorBidi"/>
      <w:bCs w:val="0"/>
      <w:sz w:val="24"/>
      <w:szCs w:val="26"/>
    </w:rPr>
  </w:style>
  <w:style w:type="paragraph" w:styleId="Heading3">
    <w:name w:val="heading 3"/>
    <w:basedOn w:val="Heading1"/>
    <w:next w:val="Normal"/>
    <w:link w:val="Heading3Char"/>
    <w:uiPriority w:val="99"/>
    <w:qFormat/>
    <w:rsid w:val="00D66851"/>
    <w:pPr>
      <w:numPr>
        <w:ilvl w:val="2"/>
      </w:numPr>
      <w:spacing w:after="120" w:line="276" w:lineRule="auto"/>
      <w:ind w:left="357" w:hanging="357"/>
      <w:jc w:val="left"/>
      <w:outlineLvl w:val="2"/>
    </w:pPr>
    <w:rPr>
      <w:b w:val="0"/>
      <w:bCs w:val="0"/>
      <w:sz w:val="24"/>
    </w:rPr>
  </w:style>
  <w:style w:type="paragraph" w:styleId="Heading4">
    <w:name w:val="heading 4"/>
    <w:basedOn w:val="Heading1"/>
    <w:next w:val="Normal"/>
    <w:link w:val="Heading4Char"/>
    <w:uiPriority w:val="9"/>
    <w:unhideWhenUsed/>
    <w:qFormat/>
    <w:rsid w:val="00504CC7"/>
    <w:pPr>
      <w:keepLines/>
      <w:numPr>
        <w:ilvl w:val="3"/>
      </w:numPr>
      <w:spacing w:after="120" w:line="276" w:lineRule="auto"/>
      <w:ind w:left="357" w:hanging="357"/>
      <w:jc w:val="left"/>
      <w:outlineLvl w:val="3"/>
    </w:pPr>
    <w:rPr>
      <w:rFonts w:eastAsiaTheme="majorEastAsia" w:cstheme="majorBidi"/>
      <w:b w:val="0"/>
      <w:iCs/>
      <w:sz w:val="24"/>
    </w:rPr>
  </w:style>
  <w:style w:type="paragraph" w:styleId="Heading5">
    <w:name w:val="heading 5"/>
    <w:basedOn w:val="Heading1"/>
    <w:next w:val="Normal"/>
    <w:link w:val="Heading5Char"/>
    <w:uiPriority w:val="9"/>
    <w:unhideWhenUsed/>
    <w:qFormat/>
    <w:rsid w:val="00504CC7"/>
    <w:pPr>
      <w:keepLines/>
      <w:numPr>
        <w:ilvl w:val="4"/>
      </w:numPr>
      <w:spacing w:after="120" w:line="276" w:lineRule="auto"/>
      <w:ind w:left="357" w:hanging="357"/>
      <w:jc w:val="left"/>
      <w:outlineLvl w:val="4"/>
    </w:pPr>
    <w:rPr>
      <w:rFonts w:eastAsiaTheme="majorEastAsia" w:cstheme="majorBidi"/>
      <w:b w:val="0"/>
      <w:sz w:val="24"/>
    </w:rPr>
  </w:style>
  <w:style w:type="paragraph" w:styleId="Heading6">
    <w:name w:val="heading 6"/>
    <w:basedOn w:val="Heading1"/>
    <w:next w:val="Normal"/>
    <w:link w:val="Heading6Char"/>
    <w:uiPriority w:val="9"/>
    <w:unhideWhenUsed/>
    <w:qFormat/>
    <w:rsid w:val="00EA4EEF"/>
    <w:pPr>
      <w:keepLines/>
      <w:numPr>
        <w:ilvl w:val="5"/>
      </w:numPr>
      <w:spacing w:after="120" w:line="276" w:lineRule="auto"/>
      <w:ind w:left="357" w:hanging="357"/>
      <w:jc w:val="left"/>
      <w:outlineLvl w:val="5"/>
    </w:pPr>
    <w:rPr>
      <w:rFonts w:eastAsiaTheme="majorEastAsia" w:cstheme="majorBidi"/>
      <w:b w:val="0"/>
      <w:sz w:val="24"/>
    </w:rPr>
  </w:style>
  <w:style w:type="paragraph" w:styleId="Heading7">
    <w:name w:val="heading 7"/>
    <w:basedOn w:val="Normal"/>
    <w:next w:val="Normal"/>
    <w:link w:val="Heading7Char"/>
    <w:uiPriority w:val="9"/>
    <w:semiHidden/>
    <w:unhideWhenUsed/>
    <w:qFormat/>
    <w:rsid w:val="0078014B"/>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8014B"/>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8014B"/>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2284"/>
    <w:pPr>
      <w:tabs>
        <w:tab w:val="center" w:pos="4513"/>
        <w:tab w:val="right" w:pos="9026"/>
      </w:tabs>
      <w:spacing w:before="0" w:after="0"/>
    </w:pPr>
  </w:style>
  <w:style w:type="character" w:customStyle="1" w:styleId="HeaderChar">
    <w:name w:val="Header Char"/>
    <w:basedOn w:val="DefaultParagraphFont"/>
    <w:link w:val="Header"/>
    <w:uiPriority w:val="99"/>
    <w:rsid w:val="006C2284"/>
  </w:style>
  <w:style w:type="paragraph" w:styleId="Footer">
    <w:name w:val="footer"/>
    <w:basedOn w:val="Normal"/>
    <w:link w:val="FooterChar"/>
    <w:uiPriority w:val="99"/>
    <w:unhideWhenUsed/>
    <w:rsid w:val="00571EC2"/>
    <w:pPr>
      <w:tabs>
        <w:tab w:val="center" w:pos="4513"/>
        <w:tab w:val="right" w:pos="9026"/>
      </w:tabs>
      <w:spacing w:before="0" w:after="0"/>
    </w:pPr>
    <w:rPr>
      <w:color w:val="7F7F7F" w:themeColor="text1" w:themeTint="80"/>
      <w:sz w:val="14"/>
    </w:rPr>
  </w:style>
  <w:style w:type="character" w:customStyle="1" w:styleId="FooterChar">
    <w:name w:val="Footer Char"/>
    <w:basedOn w:val="DefaultParagraphFont"/>
    <w:link w:val="Footer"/>
    <w:uiPriority w:val="99"/>
    <w:rsid w:val="00571EC2"/>
    <w:rPr>
      <w:color w:val="7F7F7F" w:themeColor="text1" w:themeTint="80"/>
      <w:sz w:val="14"/>
      <w:szCs w:val="20"/>
    </w:rPr>
  </w:style>
  <w:style w:type="character" w:styleId="Hyperlink">
    <w:name w:val="Hyperlink"/>
    <w:basedOn w:val="DefaultParagraphFont"/>
    <w:uiPriority w:val="99"/>
    <w:unhideWhenUsed/>
    <w:rsid w:val="006C2284"/>
    <w:rPr>
      <w:color w:val="0563C1" w:themeColor="hyperlink"/>
      <w:u w:val="single"/>
    </w:rPr>
  </w:style>
  <w:style w:type="character" w:styleId="UnresolvedMention">
    <w:name w:val="Unresolved Mention"/>
    <w:basedOn w:val="DefaultParagraphFont"/>
    <w:uiPriority w:val="99"/>
    <w:semiHidden/>
    <w:unhideWhenUsed/>
    <w:rsid w:val="006C2284"/>
    <w:rPr>
      <w:color w:val="808080"/>
      <w:shd w:val="clear" w:color="auto" w:fill="E6E6E6"/>
    </w:rPr>
  </w:style>
  <w:style w:type="paragraph" w:styleId="NoSpacing">
    <w:name w:val="No Spacing"/>
    <w:uiPriority w:val="1"/>
    <w:qFormat/>
    <w:rsid w:val="00C627A6"/>
    <w:pPr>
      <w:spacing w:after="0" w:line="240" w:lineRule="auto"/>
    </w:pPr>
    <w:rPr>
      <w:sz w:val="18"/>
      <w:lang w:val="en-NZ"/>
    </w:rPr>
  </w:style>
  <w:style w:type="table" w:styleId="TableGrid">
    <w:name w:val="Table Grid"/>
    <w:basedOn w:val="TableNormal"/>
    <w:uiPriority w:val="59"/>
    <w:rsid w:val="00C627A6"/>
    <w:pPr>
      <w:spacing w:after="0" w:line="240" w:lineRule="auto"/>
    </w:pPr>
    <w:rPr>
      <w:lang w:val="en-NZ"/>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9"/>
    <w:rsid w:val="00147AC8"/>
    <w:rPr>
      <w:rFonts w:ascii="Cambria" w:eastAsia="Times New Roman" w:hAnsi="Cambria" w:cs="Arial Bold"/>
      <w:b/>
      <w:bCs/>
      <w:sz w:val="28"/>
      <w:szCs w:val="18"/>
    </w:rPr>
  </w:style>
  <w:style w:type="character" w:customStyle="1" w:styleId="Heading3Char">
    <w:name w:val="Heading 3 Char"/>
    <w:basedOn w:val="DefaultParagraphFont"/>
    <w:link w:val="Heading3"/>
    <w:uiPriority w:val="99"/>
    <w:rsid w:val="00D66851"/>
    <w:rPr>
      <w:rFonts w:ascii="Arial" w:eastAsia="Times New Roman" w:hAnsi="Arial" w:cs="Arial Bold"/>
      <w:sz w:val="24"/>
      <w:szCs w:val="18"/>
    </w:rPr>
  </w:style>
  <w:style w:type="paragraph" w:customStyle="1" w:styleId="NormalAlphabet">
    <w:name w:val="Normal Alphabet"/>
    <w:basedOn w:val="Normal"/>
    <w:uiPriority w:val="99"/>
    <w:rsid w:val="002C6EB7"/>
    <w:pPr>
      <w:numPr>
        <w:ilvl w:val="2"/>
        <w:numId w:val="1"/>
      </w:numPr>
      <w:spacing w:before="0" w:after="120"/>
    </w:pPr>
    <w:rPr>
      <w:rFonts w:ascii="Arial" w:eastAsia="Times New Roman" w:hAnsi="Arial" w:cs="Arial"/>
      <w:szCs w:val="18"/>
    </w:rPr>
  </w:style>
  <w:style w:type="paragraph" w:customStyle="1" w:styleId="NormalNumbered">
    <w:name w:val="Normal Numbered"/>
    <w:basedOn w:val="Normal"/>
    <w:uiPriority w:val="99"/>
    <w:rsid w:val="002C6EB7"/>
    <w:pPr>
      <w:numPr>
        <w:ilvl w:val="1"/>
        <w:numId w:val="1"/>
      </w:numPr>
      <w:spacing w:before="0" w:after="120"/>
    </w:pPr>
    <w:rPr>
      <w:rFonts w:ascii="Arial" w:eastAsia="Times New Roman" w:hAnsi="Arial" w:cs="Arial"/>
      <w:szCs w:val="18"/>
    </w:rPr>
  </w:style>
  <w:style w:type="paragraph" w:styleId="BodyTextIndent">
    <w:name w:val="Body Text Indent"/>
    <w:basedOn w:val="Normal"/>
    <w:link w:val="BodyTextIndentChar"/>
    <w:uiPriority w:val="99"/>
    <w:rsid w:val="002C6EB7"/>
    <w:pPr>
      <w:spacing w:before="0" w:after="0"/>
      <w:ind w:left="1080" w:hanging="540"/>
      <w:jc w:val="both"/>
    </w:pPr>
    <w:rPr>
      <w:rFonts w:ascii="Arial" w:eastAsia="Times New Roman" w:hAnsi="Arial" w:cs="Times New Roman"/>
    </w:rPr>
  </w:style>
  <w:style w:type="character" w:customStyle="1" w:styleId="BodyTextIndentChar">
    <w:name w:val="Body Text Indent Char"/>
    <w:basedOn w:val="DefaultParagraphFont"/>
    <w:link w:val="BodyTextIndent"/>
    <w:uiPriority w:val="99"/>
    <w:rsid w:val="002C6EB7"/>
    <w:rPr>
      <w:rFonts w:ascii="Arial" w:eastAsia="Times New Roman" w:hAnsi="Arial" w:cs="Times New Roman"/>
      <w:sz w:val="20"/>
      <w:szCs w:val="20"/>
    </w:rPr>
  </w:style>
  <w:style w:type="paragraph" w:styleId="ListParagraph">
    <w:name w:val="List Paragraph"/>
    <w:basedOn w:val="smpte-indent"/>
    <w:uiPriority w:val="34"/>
    <w:qFormat/>
    <w:rsid w:val="00446196"/>
    <w:pPr>
      <w:numPr>
        <w:numId w:val="18"/>
      </w:numPr>
      <w:spacing w:before="0" w:after="0"/>
      <w:contextualSpacing/>
    </w:pPr>
    <w:rPr>
      <w:rFonts w:eastAsia="Times New Roman" w:cs="Arial"/>
      <w:sz w:val="22"/>
      <w:szCs w:val="18"/>
    </w:rPr>
  </w:style>
  <w:style w:type="paragraph" w:customStyle="1" w:styleId="Address">
    <w:name w:val="Address"/>
    <w:basedOn w:val="Normal"/>
    <w:link w:val="AddressChar"/>
    <w:qFormat/>
    <w:rsid w:val="00402D76"/>
    <w:pPr>
      <w:spacing w:before="0" w:after="0"/>
      <w:ind w:right="96"/>
    </w:pPr>
    <w:rPr>
      <w:lang w:val="en-NZ"/>
    </w:rPr>
  </w:style>
  <w:style w:type="character" w:customStyle="1" w:styleId="AddressChar">
    <w:name w:val="Address Char"/>
    <w:basedOn w:val="DefaultParagraphFont"/>
    <w:link w:val="Address"/>
    <w:rsid w:val="00402D76"/>
    <w:rPr>
      <w:sz w:val="18"/>
      <w:szCs w:val="20"/>
      <w:lang w:val="en-NZ"/>
    </w:rPr>
  </w:style>
  <w:style w:type="character" w:customStyle="1" w:styleId="Heading2Char">
    <w:name w:val="Heading 2 Char"/>
    <w:basedOn w:val="DefaultParagraphFont"/>
    <w:link w:val="Heading2"/>
    <w:uiPriority w:val="9"/>
    <w:rsid w:val="00655E4E"/>
    <w:rPr>
      <w:rFonts w:ascii="Arial" w:eastAsiaTheme="majorEastAsia" w:hAnsi="Arial" w:cstheme="majorBidi"/>
      <w:b/>
      <w:sz w:val="24"/>
      <w:szCs w:val="26"/>
    </w:rPr>
  </w:style>
  <w:style w:type="character" w:customStyle="1" w:styleId="Heading4Char">
    <w:name w:val="Heading 4 Char"/>
    <w:basedOn w:val="DefaultParagraphFont"/>
    <w:link w:val="Heading4"/>
    <w:uiPriority w:val="9"/>
    <w:rsid w:val="00504CC7"/>
    <w:rPr>
      <w:rFonts w:ascii="Arial" w:eastAsiaTheme="majorEastAsia" w:hAnsi="Arial" w:cstheme="majorBidi"/>
      <w:bCs/>
      <w:iCs/>
      <w:sz w:val="24"/>
      <w:szCs w:val="18"/>
    </w:rPr>
  </w:style>
  <w:style w:type="character" w:customStyle="1" w:styleId="Heading5Char">
    <w:name w:val="Heading 5 Char"/>
    <w:basedOn w:val="DefaultParagraphFont"/>
    <w:link w:val="Heading5"/>
    <w:uiPriority w:val="9"/>
    <w:rsid w:val="00504CC7"/>
    <w:rPr>
      <w:rFonts w:ascii="Arial" w:eastAsiaTheme="majorEastAsia" w:hAnsi="Arial" w:cstheme="majorBidi"/>
      <w:bCs/>
      <w:sz w:val="24"/>
      <w:szCs w:val="18"/>
    </w:rPr>
  </w:style>
  <w:style w:type="character" w:customStyle="1" w:styleId="Heading6Char">
    <w:name w:val="Heading 6 Char"/>
    <w:basedOn w:val="DefaultParagraphFont"/>
    <w:link w:val="Heading6"/>
    <w:uiPriority w:val="9"/>
    <w:rsid w:val="00EA4EEF"/>
    <w:rPr>
      <w:rFonts w:ascii="Arial" w:eastAsiaTheme="majorEastAsia" w:hAnsi="Arial" w:cstheme="majorBidi"/>
      <w:bCs/>
      <w:sz w:val="24"/>
      <w:szCs w:val="18"/>
    </w:rPr>
  </w:style>
  <w:style w:type="character" w:customStyle="1" w:styleId="Heading7Char">
    <w:name w:val="Heading 7 Char"/>
    <w:basedOn w:val="DefaultParagraphFont"/>
    <w:link w:val="Heading7"/>
    <w:uiPriority w:val="9"/>
    <w:semiHidden/>
    <w:rsid w:val="0078014B"/>
    <w:rPr>
      <w:rFonts w:asciiTheme="majorHAnsi" w:eastAsiaTheme="majorEastAsia" w:hAnsiTheme="majorHAnsi" w:cstheme="majorBidi"/>
      <w:i/>
      <w:iCs/>
      <w:color w:val="1F3763" w:themeColor="accent1" w:themeShade="7F"/>
      <w:sz w:val="20"/>
      <w:szCs w:val="20"/>
    </w:rPr>
  </w:style>
  <w:style w:type="character" w:customStyle="1" w:styleId="Heading8Char">
    <w:name w:val="Heading 8 Char"/>
    <w:basedOn w:val="DefaultParagraphFont"/>
    <w:link w:val="Heading8"/>
    <w:uiPriority w:val="9"/>
    <w:semiHidden/>
    <w:rsid w:val="0078014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8014B"/>
    <w:rPr>
      <w:rFonts w:asciiTheme="majorHAnsi" w:eastAsiaTheme="majorEastAsia" w:hAnsiTheme="majorHAnsi" w:cstheme="majorBidi"/>
      <w:i/>
      <w:iCs/>
      <w:color w:val="272727" w:themeColor="text1" w:themeTint="D8"/>
      <w:sz w:val="21"/>
      <w:szCs w:val="21"/>
    </w:rPr>
  </w:style>
  <w:style w:type="paragraph" w:customStyle="1" w:styleId="SourceCode">
    <w:name w:val="Source Code"/>
    <w:basedOn w:val="Normal"/>
    <w:qFormat/>
    <w:rsid w:val="009A50C5"/>
    <w:pPr>
      <w:shd w:val="clear" w:color="auto" w:fill="F2F2F2" w:themeFill="background1" w:themeFillShade="F2"/>
      <w:wordWrap w:val="0"/>
      <w:contextualSpacing/>
    </w:pPr>
    <w:rPr>
      <w:rFonts w:ascii="Consolas" w:hAnsi="Consolas"/>
      <w:color w:val="595959" w:themeColor="text1" w:themeTint="A6"/>
      <w:spacing w:val="-10"/>
      <w:sz w:val="20"/>
    </w:rPr>
  </w:style>
  <w:style w:type="character" w:customStyle="1" w:styleId="KeywordTok">
    <w:name w:val="KeywordTok"/>
    <w:basedOn w:val="VerbatimChar"/>
    <w:rPr>
      <w:rFonts w:ascii="Consolas" w:hAnsi="Consolas"/>
      <w:b/>
      <w:color w:val="007020"/>
      <w:sz w:val="16"/>
    </w:rPr>
  </w:style>
  <w:style w:type="character" w:customStyle="1" w:styleId="DataTypeTok">
    <w:name w:val="DataTypeTok"/>
    <w:basedOn w:val="VerbatimChar"/>
    <w:rPr>
      <w:rFonts w:ascii="Consolas" w:hAnsi="Consolas"/>
      <w:color w:val="902000"/>
      <w:sz w:val="16"/>
    </w:rPr>
  </w:style>
  <w:style w:type="character" w:customStyle="1" w:styleId="DecValTok">
    <w:name w:val="DecValTok"/>
    <w:basedOn w:val="VerbatimChar"/>
    <w:rPr>
      <w:rFonts w:ascii="Consolas" w:hAnsi="Consolas"/>
      <w:color w:val="40A070"/>
      <w:sz w:val="16"/>
    </w:rPr>
  </w:style>
  <w:style w:type="character" w:customStyle="1" w:styleId="BaseNTok">
    <w:name w:val="BaseNTok"/>
    <w:basedOn w:val="VerbatimChar"/>
    <w:rPr>
      <w:rFonts w:ascii="Consolas" w:hAnsi="Consolas"/>
      <w:color w:val="40A070"/>
      <w:sz w:val="16"/>
    </w:rPr>
  </w:style>
  <w:style w:type="character" w:customStyle="1" w:styleId="FloatTok">
    <w:name w:val="FloatTok"/>
    <w:basedOn w:val="VerbatimChar"/>
    <w:rPr>
      <w:rFonts w:ascii="Consolas" w:hAnsi="Consolas"/>
      <w:color w:val="40A070"/>
      <w:sz w:val="16"/>
    </w:rPr>
  </w:style>
  <w:style w:type="character" w:customStyle="1" w:styleId="ConstantTok">
    <w:name w:val="ConstantTok"/>
    <w:basedOn w:val="VerbatimChar"/>
    <w:rPr>
      <w:rFonts w:ascii="Consolas" w:hAnsi="Consolas"/>
      <w:color w:val="880000"/>
      <w:sz w:val="16"/>
    </w:rPr>
  </w:style>
  <w:style w:type="character" w:customStyle="1" w:styleId="CharTok">
    <w:name w:val="CharTok"/>
    <w:basedOn w:val="VerbatimChar"/>
    <w:rPr>
      <w:rFonts w:ascii="Consolas" w:hAnsi="Consolas"/>
      <w:color w:val="4070A0"/>
      <w:sz w:val="16"/>
    </w:rPr>
  </w:style>
  <w:style w:type="character" w:customStyle="1" w:styleId="SpecialCharTok">
    <w:name w:val="SpecialCharTok"/>
    <w:basedOn w:val="VerbatimChar"/>
    <w:rPr>
      <w:rFonts w:ascii="Consolas" w:hAnsi="Consolas"/>
      <w:color w:val="4070A0"/>
      <w:sz w:val="16"/>
    </w:rPr>
  </w:style>
  <w:style w:type="character" w:customStyle="1" w:styleId="StringTok">
    <w:name w:val="StringTok"/>
    <w:basedOn w:val="VerbatimChar"/>
    <w:rPr>
      <w:rFonts w:ascii="Consolas" w:hAnsi="Consolas"/>
      <w:color w:val="4070A0"/>
      <w:sz w:val="16"/>
    </w:rPr>
  </w:style>
  <w:style w:type="character" w:customStyle="1" w:styleId="VerbatimStringTok">
    <w:name w:val="VerbatimStringTok"/>
    <w:basedOn w:val="VerbatimChar"/>
    <w:rPr>
      <w:rFonts w:ascii="Consolas" w:hAnsi="Consolas"/>
      <w:color w:val="4070A0"/>
      <w:sz w:val="16"/>
    </w:rPr>
  </w:style>
  <w:style w:type="character" w:customStyle="1" w:styleId="SpecialStringTok">
    <w:name w:val="SpecialStringTok"/>
    <w:basedOn w:val="VerbatimChar"/>
    <w:rPr>
      <w:rFonts w:ascii="Consolas" w:hAnsi="Consolas"/>
      <w:color w:val="BB6688"/>
      <w:sz w:val="16"/>
    </w:rPr>
  </w:style>
  <w:style w:type="character" w:customStyle="1" w:styleId="ImportTok">
    <w:name w:val="ImportTok"/>
    <w:basedOn w:val="VerbatimChar"/>
    <w:rPr>
      <w:rFonts w:ascii="Consolas" w:hAnsi="Consolas"/>
      <w:color w:val="595959" w:themeColor="text1" w:themeTint="A6"/>
      <w:sz w:val="16"/>
    </w:rPr>
  </w:style>
  <w:style w:type="character" w:customStyle="1" w:styleId="CommentTok">
    <w:name w:val="CommentTok"/>
    <w:basedOn w:val="VerbatimChar"/>
    <w:rPr>
      <w:rFonts w:ascii="Consolas" w:hAnsi="Consolas"/>
      <w:i/>
      <w:color w:val="60A0B0"/>
      <w:sz w:val="16"/>
    </w:rPr>
  </w:style>
  <w:style w:type="character" w:customStyle="1" w:styleId="DocumentationTok">
    <w:name w:val="DocumentationTok"/>
    <w:basedOn w:val="VerbatimChar"/>
    <w:rsid w:val="007D7C3B"/>
    <w:rPr>
      <w:rFonts w:ascii="Consolas" w:hAnsi="Consolas"/>
      <w:color w:val="595959" w:themeColor="text1" w:themeTint="A6"/>
      <w:sz w:val="16"/>
    </w:rPr>
  </w:style>
  <w:style w:type="character" w:customStyle="1" w:styleId="AnnotationTok">
    <w:name w:val="AnnotationTok"/>
    <w:basedOn w:val="VerbatimChar"/>
    <w:rPr>
      <w:rFonts w:ascii="Consolas" w:hAnsi="Consolas"/>
      <w:b/>
      <w:i/>
      <w:color w:val="60A0B0"/>
      <w:sz w:val="16"/>
    </w:rPr>
  </w:style>
  <w:style w:type="character" w:customStyle="1" w:styleId="CommentVarTok">
    <w:name w:val="CommentVarTok"/>
    <w:basedOn w:val="VerbatimChar"/>
    <w:rPr>
      <w:rFonts w:ascii="Consolas" w:hAnsi="Consolas"/>
      <w:b/>
      <w:i/>
      <w:color w:val="60A0B0"/>
      <w:sz w:val="16"/>
    </w:rPr>
  </w:style>
  <w:style w:type="character" w:customStyle="1" w:styleId="OtherTok">
    <w:name w:val="OtherTok"/>
    <w:basedOn w:val="VerbatimChar"/>
    <w:rPr>
      <w:rFonts w:ascii="Consolas" w:hAnsi="Consolas"/>
      <w:color w:val="007020"/>
      <w:sz w:val="16"/>
    </w:rPr>
  </w:style>
  <w:style w:type="character" w:customStyle="1" w:styleId="FunctionTok">
    <w:name w:val="FunctionTok"/>
    <w:basedOn w:val="VerbatimChar"/>
    <w:rsid w:val="0069611D"/>
    <w:rPr>
      <w:rFonts w:ascii="Consolas" w:hAnsi="Consolas"/>
      <w:color w:val="06287E"/>
      <w:sz w:val="16"/>
    </w:rPr>
  </w:style>
  <w:style w:type="character" w:customStyle="1" w:styleId="VariableTok">
    <w:name w:val="VariableTok"/>
    <w:basedOn w:val="VerbatimChar"/>
    <w:rPr>
      <w:rFonts w:ascii="Consolas" w:hAnsi="Consolas"/>
      <w:color w:val="19177C"/>
      <w:sz w:val="16"/>
    </w:rPr>
  </w:style>
  <w:style w:type="character" w:customStyle="1" w:styleId="ControlFlowTok">
    <w:name w:val="ControlFlowTok"/>
    <w:basedOn w:val="VerbatimChar"/>
    <w:rPr>
      <w:rFonts w:ascii="Consolas" w:hAnsi="Consolas"/>
      <w:b/>
      <w:color w:val="007020"/>
      <w:sz w:val="16"/>
    </w:rPr>
  </w:style>
  <w:style w:type="character" w:customStyle="1" w:styleId="OperatorTok">
    <w:name w:val="OperatorTok"/>
    <w:basedOn w:val="VerbatimChar"/>
    <w:rPr>
      <w:rFonts w:ascii="Consolas" w:hAnsi="Consolas"/>
      <w:color w:val="666666"/>
      <w:sz w:val="16"/>
    </w:rPr>
  </w:style>
  <w:style w:type="character" w:customStyle="1" w:styleId="BuiltInTok">
    <w:name w:val="BuiltInTok"/>
    <w:basedOn w:val="WarningTok"/>
    <w:rPr>
      <w:rFonts w:ascii="Consolas" w:hAnsi="Consolas"/>
      <w:b/>
      <w:i/>
      <w:color w:val="60A0B0"/>
      <w:sz w:val="16"/>
    </w:rPr>
  </w:style>
  <w:style w:type="character" w:customStyle="1" w:styleId="ExtensionTok">
    <w:name w:val="ExtensionTok"/>
    <w:basedOn w:val="VerbatimChar"/>
    <w:rPr>
      <w:rFonts w:ascii="Consolas" w:hAnsi="Consolas"/>
      <w:color w:val="595959" w:themeColor="text1" w:themeTint="A6"/>
      <w:sz w:val="16"/>
    </w:rPr>
  </w:style>
  <w:style w:type="character" w:customStyle="1" w:styleId="PreprocessorTok">
    <w:name w:val="PreprocessorTok"/>
    <w:basedOn w:val="VerbatimChar"/>
    <w:rPr>
      <w:rFonts w:ascii="Consolas" w:hAnsi="Consolas"/>
      <w:color w:val="BC7A00"/>
      <w:sz w:val="16"/>
    </w:rPr>
  </w:style>
  <w:style w:type="character" w:customStyle="1" w:styleId="AttributeTok">
    <w:name w:val="AttributeTok"/>
    <w:basedOn w:val="VerbatimChar"/>
    <w:rPr>
      <w:rFonts w:ascii="Consolas" w:hAnsi="Consolas"/>
      <w:color w:val="7D9029"/>
      <w:sz w:val="16"/>
    </w:rPr>
  </w:style>
  <w:style w:type="character" w:customStyle="1" w:styleId="RegionMarkerTok">
    <w:name w:val="RegionMarkerTok"/>
    <w:basedOn w:val="VerbatimChar"/>
    <w:rPr>
      <w:rFonts w:ascii="Consolas" w:hAnsi="Consolas"/>
      <w:color w:val="595959" w:themeColor="text1" w:themeTint="A6"/>
      <w:sz w:val="16"/>
    </w:rPr>
  </w:style>
  <w:style w:type="character" w:customStyle="1" w:styleId="InformationTok">
    <w:name w:val="InformationTok"/>
    <w:basedOn w:val="VerbatimChar"/>
    <w:rPr>
      <w:rFonts w:ascii="Consolas" w:hAnsi="Consolas"/>
      <w:b/>
      <w:i/>
      <w:color w:val="60A0B0"/>
      <w:sz w:val="16"/>
    </w:rPr>
  </w:style>
  <w:style w:type="character" w:customStyle="1" w:styleId="WarningTok">
    <w:name w:val="WarningTok"/>
    <w:basedOn w:val="VerbatimChar"/>
    <w:rPr>
      <w:rFonts w:ascii="Consolas" w:hAnsi="Consolas"/>
      <w:b/>
      <w:i/>
      <w:color w:val="60A0B0"/>
      <w:sz w:val="16"/>
    </w:rPr>
  </w:style>
  <w:style w:type="character" w:customStyle="1" w:styleId="AlertTok">
    <w:name w:val="AlertTok"/>
    <w:basedOn w:val="VerbatimChar"/>
    <w:rPr>
      <w:rFonts w:ascii="Consolas" w:hAnsi="Consolas"/>
      <w:b/>
      <w:color w:val="FF0000"/>
      <w:sz w:val="16"/>
    </w:rPr>
  </w:style>
  <w:style w:type="character" w:customStyle="1" w:styleId="ErrorTok">
    <w:name w:val="ErrorTok"/>
    <w:basedOn w:val="VerbatimChar"/>
    <w:rPr>
      <w:rFonts w:ascii="Consolas" w:hAnsi="Consolas"/>
      <w:b/>
      <w:color w:val="FF0000"/>
      <w:sz w:val="16"/>
    </w:rPr>
  </w:style>
  <w:style w:type="character" w:customStyle="1" w:styleId="NormalTok">
    <w:name w:val="NormalTok"/>
    <w:basedOn w:val="VerbatimChar"/>
    <w:rPr>
      <w:rFonts w:ascii="Consolas" w:hAnsi="Consolas"/>
      <w:color w:val="595959" w:themeColor="text1" w:themeTint="A6"/>
      <w:sz w:val="16"/>
    </w:rPr>
  </w:style>
  <w:style w:type="character" w:customStyle="1" w:styleId="VerbatimChar">
    <w:name w:val="Verbatim Char"/>
    <w:basedOn w:val="DefaultParagraphFont"/>
    <w:uiPriority w:val="1"/>
    <w:qFormat/>
    <w:rsid w:val="003512AF"/>
    <w:rPr>
      <w:rFonts w:ascii="Consolas" w:hAnsi="Consolas"/>
      <w:color w:val="404040" w:themeColor="text1" w:themeTint="BF"/>
    </w:rPr>
  </w:style>
  <w:style w:type="character" w:styleId="IntenseReference">
    <w:name w:val="Intense Reference"/>
    <w:basedOn w:val="DefaultParagraphFont"/>
    <w:uiPriority w:val="32"/>
    <w:qFormat/>
    <w:rsid w:val="002D196E"/>
    <w:rPr>
      <w:b/>
      <w:bCs/>
      <w:smallCaps/>
      <w:color w:val="4472C4" w:themeColor="accent1"/>
      <w:spacing w:val="5"/>
    </w:rPr>
  </w:style>
  <w:style w:type="paragraph" w:styleId="Title">
    <w:name w:val="Title"/>
    <w:next w:val="Normal"/>
    <w:link w:val="TitleChar"/>
    <w:uiPriority w:val="10"/>
    <w:qFormat/>
    <w:rsid w:val="00BC6EBB"/>
    <w:pPr>
      <w:spacing w:before="80" w:after="80" w:line="276" w:lineRule="auto"/>
      <w:contextualSpacing/>
      <w:jc w:val="center"/>
    </w:pPr>
    <w:rPr>
      <w:rFonts w:ascii="Cambria" w:eastAsiaTheme="majorEastAsia" w:hAnsi="Cambria" w:cstheme="majorBidi"/>
      <w:b/>
      <w:color w:val="000087"/>
      <w:kern w:val="36"/>
      <w:sz w:val="32"/>
      <w:szCs w:val="56"/>
      <w:lang w:val="en-NZ"/>
    </w:rPr>
  </w:style>
  <w:style w:type="character" w:customStyle="1" w:styleId="TitleChar">
    <w:name w:val="Title Char"/>
    <w:basedOn w:val="DefaultParagraphFont"/>
    <w:link w:val="Title"/>
    <w:uiPriority w:val="10"/>
    <w:rsid w:val="00BC6EBB"/>
    <w:rPr>
      <w:rFonts w:ascii="Cambria" w:eastAsiaTheme="majorEastAsia" w:hAnsi="Cambria" w:cstheme="majorBidi"/>
      <w:b/>
      <w:color w:val="000087"/>
      <w:kern w:val="36"/>
      <w:sz w:val="32"/>
      <w:szCs w:val="56"/>
      <w:lang w:val="en-NZ"/>
    </w:rPr>
  </w:style>
  <w:style w:type="paragraph" w:styleId="Date">
    <w:name w:val="Date"/>
    <w:basedOn w:val="Normal"/>
    <w:next w:val="Normal"/>
    <w:link w:val="DateChar"/>
    <w:uiPriority w:val="99"/>
    <w:semiHidden/>
    <w:unhideWhenUsed/>
    <w:rsid w:val="00547118"/>
    <w:pPr>
      <w:spacing w:before="0" w:after="40"/>
      <w:jc w:val="center"/>
    </w:pPr>
    <w:rPr>
      <w:rFonts w:ascii="Maven Pro" w:hAnsi="Maven Pro"/>
      <w:color w:val="A5A5A5" w:themeColor="accent3"/>
      <w:sz w:val="20"/>
    </w:rPr>
  </w:style>
  <w:style w:type="character" w:customStyle="1" w:styleId="DateChar">
    <w:name w:val="Date Char"/>
    <w:basedOn w:val="DefaultParagraphFont"/>
    <w:link w:val="Date"/>
    <w:uiPriority w:val="99"/>
    <w:semiHidden/>
    <w:rsid w:val="00547118"/>
    <w:rPr>
      <w:rFonts w:ascii="Maven Pro" w:hAnsi="Maven Pro"/>
      <w:color w:val="A5A5A5" w:themeColor="accent3"/>
      <w:sz w:val="20"/>
      <w:szCs w:val="20"/>
    </w:rPr>
  </w:style>
  <w:style w:type="paragraph" w:customStyle="1" w:styleId="Author">
    <w:name w:val="Author"/>
    <w:basedOn w:val="Date"/>
    <w:link w:val="AuthorChar"/>
    <w:qFormat/>
    <w:rsid w:val="00547118"/>
    <w:rPr>
      <w:iCs/>
      <w:sz w:val="22"/>
    </w:rPr>
  </w:style>
  <w:style w:type="character" w:customStyle="1" w:styleId="AuthorChar">
    <w:name w:val="Author Char"/>
    <w:basedOn w:val="DateChar"/>
    <w:link w:val="Author"/>
    <w:rsid w:val="00547118"/>
    <w:rPr>
      <w:rFonts w:ascii="Maven Pro" w:hAnsi="Maven Pro"/>
      <w:iCs/>
      <w:color w:val="A5A5A5" w:themeColor="accent3"/>
      <w:sz w:val="20"/>
      <w:szCs w:val="20"/>
    </w:rPr>
  </w:style>
  <w:style w:type="paragraph" w:styleId="TOCHeading">
    <w:name w:val="TOC Heading"/>
    <w:basedOn w:val="Heading1"/>
    <w:next w:val="Normal"/>
    <w:uiPriority w:val="39"/>
    <w:semiHidden/>
    <w:unhideWhenUsed/>
    <w:qFormat/>
    <w:rsid w:val="005A4A71"/>
    <w:pPr>
      <w:keepLines/>
      <w:spacing w:before="240" w:after="0" w:line="259" w:lineRule="auto"/>
      <w:ind w:left="0" w:firstLine="0"/>
      <w:jc w:val="left"/>
      <w:outlineLvl w:val="9"/>
    </w:pPr>
    <w:rPr>
      <w:rFonts w:eastAsiaTheme="majorEastAsia" w:cstheme="majorBidi"/>
      <w:bCs w:val="0"/>
      <w:szCs w:val="32"/>
    </w:rPr>
  </w:style>
  <w:style w:type="paragraph" w:styleId="Subtitle">
    <w:name w:val="Subtitle"/>
    <w:next w:val="Normal"/>
    <w:link w:val="SubtitleChar"/>
    <w:uiPriority w:val="11"/>
    <w:qFormat/>
    <w:rsid w:val="00085AF8"/>
    <w:pPr>
      <w:spacing w:before="80" w:after="80" w:line="276" w:lineRule="auto"/>
      <w:jc w:val="center"/>
    </w:pPr>
    <w:rPr>
      <w:rFonts w:ascii="Cambria" w:eastAsiaTheme="majorEastAsia" w:hAnsi="Cambria" w:cstheme="majorBidi"/>
      <w:b/>
      <w:color w:val="000087"/>
      <w:kern w:val="36"/>
      <w:sz w:val="28"/>
      <w:szCs w:val="56"/>
      <w:lang w:val="en-US"/>
    </w:rPr>
  </w:style>
  <w:style w:type="character" w:customStyle="1" w:styleId="SubtitleChar">
    <w:name w:val="Subtitle Char"/>
    <w:basedOn w:val="DefaultParagraphFont"/>
    <w:link w:val="Subtitle"/>
    <w:uiPriority w:val="11"/>
    <w:rsid w:val="00085AF8"/>
    <w:rPr>
      <w:rFonts w:ascii="Cambria" w:eastAsiaTheme="majorEastAsia" w:hAnsi="Cambria" w:cstheme="majorBidi"/>
      <w:b/>
      <w:color w:val="000087"/>
      <w:kern w:val="36"/>
      <w:sz w:val="28"/>
      <w:szCs w:val="56"/>
      <w:lang w:val="en-US"/>
    </w:rPr>
  </w:style>
  <w:style w:type="paragraph" w:customStyle="1" w:styleId="smpte-eng-doc-type">
    <w:name w:val="smpte-eng-doc-type"/>
    <w:basedOn w:val="Title"/>
    <w:link w:val="smpte-eng-doc-typeChar"/>
    <w:qFormat/>
    <w:rsid w:val="00243AB5"/>
    <w:pPr>
      <w:spacing w:before="0" w:after="0" w:line="240" w:lineRule="auto"/>
      <w:jc w:val="left"/>
    </w:pPr>
    <w:rPr>
      <w:rFonts w:ascii="Arial" w:hAnsi="Arial" w:cs="Arial"/>
      <w:caps/>
      <w:color w:val="auto"/>
      <w:spacing w:val="-10"/>
      <w:kern w:val="28"/>
      <w:sz w:val="40"/>
      <w:szCs w:val="40"/>
    </w:rPr>
  </w:style>
  <w:style w:type="paragraph" w:customStyle="1" w:styleId="smpte-eng-doc-title">
    <w:name w:val="smpte-eng-doc-title"/>
    <w:next w:val="Normal"/>
    <w:link w:val="smpte-eng-doc-titleChar"/>
    <w:qFormat/>
    <w:rsid w:val="00027A82"/>
    <w:pPr>
      <w:pBdr>
        <w:bottom w:val="single" w:sz="18" w:space="1" w:color="auto"/>
      </w:pBdr>
      <w:spacing w:before="320"/>
      <w:contextualSpacing/>
    </w:pPr>
    <w:rPr>
      <w:rFonts w:ascii="Arial" w:eastAsiaTheme="majorEastAsia" w:hAnsi="Arial" w:cstheme="majorBidi"/>
      <w:b/>
      <w:kern w:val="36"/>
      <w:sz w:val="28"/>
      <w:szCs w:val="56"/>
      <w:lang w:val="en-NZ"/>
    </w:rPr>
  </w:style>
  <w:style w:type="character" w:customStyle="1" w:styleId="smpte-eng-doc-typeChar">
    <w:name w:val="smpte-eng-doc-type Char"/>
    <w:basedOn w:val="TitleChar"/>
    <w:link w:val="smpte-eng-doc-type"/>
    <w:rsid w:val="00243AB5"/>
    <w:rPr>
      <w:rFonts w:ascii="Arial" w:eastAsiaTheme="majorEastAsia" w:hAnsi="Arial" w:cs="Arial"/>
      <w:b/>
      <w:caps w:val="0"/>
      <w:color w:val="000087"/>
      <w:spacing w:val="-10"/>
      <w:kern w:val="28"/>
      <w:sz w:val="40"/>
      <w:szCs w:val="40"/>
      <w:lang w:val="en-NZ"/>
    </w:rPr>
  </w:style>
  <w:style w:type="paragraph" w:customStyle="1" w:styleId="smpte-eng-doc-top">
    <w:name w:val="smpte-eng-doc-top"/>
    <w:basedOn w:val="Normal"/>
    <w:link w:val="smpte-eng-doc-topChar"/>
    <w:qFormat/>
    <w:rsid w:val="00DC4B8E"/>
    <w:pPr>
      <w:pBdr>
        <w:top w:val="single" w:sz="4" w:space="1" w:color="auto"/>
      </w:pBdr>
      <w:spacing w:before="0" w:after="120"/>
      <w:jc w:val="right"/>
    </w:pPr>
    <w:rPr>
      <w:rFonts w:ascii="Arial Bold" w:hAnsi="Arial Bold"/>
    </w:rPr>
  </w:style>
  <w:style w:type="character" w:customStyle="1" w:styleId="smpte-eng-doc-titleChar">
    <w:name w:val="smpte-eng-doc-title Char"/>
    <w:basedOn w:val="SubtitleChar"/>
    <w:link w:val="smpte-eng-doc-title"/>
    <w:rsid w:val="00027A82"/>
    <w:rPr>
      <w:rFonts w:ascii="Arial" w:eastAsiaTheme="majorEastAsia" w:hAnsi="Arial" w:cstheme="majorBidi"/>
      <w:b/>
      <w:color w:val="000087"/>
      <w:kern w:val="36"/>
      <w:sz w:val="28"/>
      <w:szCs w:val="56"/>
      <w:lang w:val="en-NZ"/>
    </w:rPr>
  </w:style>
  <w:style w:type="character" w:customStyle="1" w:styleId="smpte-eng-doc-topChar">
    <w:name w:val="smpte-eng-doc-top Char"/>
    <w:basedOn w:val="DefaultParagraphFont"/>
    <w:link w:val="smpte-eng-doc-top"/>
    <w:rsid w:val="00DC4B8E"/>
    <w:rPr>
      <w:rFonts w:ascii="Arial Bold" w:hAnsi="Arial Bold"/>
      <w:sz w:val="24"/>
      <w:szCs w:val="20"/>
    </w:rPr>
  </w:style>
  <w:style w:type="paragraph" w:customStyle="1" w:styleId="smpte-filename-draft">
    <w:name w:val="smpte-filename-draft"/>
    <w:next w:val="Normal"/>
    <w:link w:val="smpte-filename-draftChar"/>
    <w:qFormat/>
    <w:rsid w:val="001F4E74"/>
    <w:pPr>
      <w:spacing w:before="80" w:after="80" w:line="276" w:lineRule="auto"/>
      <w:jc w:val="center"/>
    </w:pPr>
    <w:rPr>
      <w:rFonts w:ascii="Cambria" w:eastAsiaTheme="majorEastAsia" w:hAnsi="Cambria" w:cstheme="majorBidi"/>
      <w:b/>
      <w:color w:val="000087"/>
      <w:spacing w:val="-10"/>
      <w:kern w:val="28"/>
      <w:sz w:val="32"/>
      <w:szCs w:val="56"/>
      <w:lang w:val="en-US"/>
    </w:rPr>
  </w:style>
  <w:style w:type="paragraph" w:customStyle="1" w:styleId="abstract">
    <w:name w:val="abstract"/>
    <w:next w:val="Normal"/>
    <w:link w:val="abstractChar"/>
    <w:qFormat/>
    <w:rsid w:val="0036221C"/>
    <w:pPr>
      <w:spacing w:before="80" w:after="80" w:line="276" w:lineRule="auto"/>
      <w:jc w:val="center"/>
    </w:pPr>
    <w:rPr>
      <w:rFonts w:ascii="Cambria" w:hAnsi="Cambria"/>
      <w:b/>
      <w:color w:val="000087"/>
      <w:sz w:val="24"/>
      <w:szCs w:val="20"/>
      <w:lang w:val="en-US"/>
    </w:rPr>
  </w:style>
  <w:style w:type="character" w:customStyle="1" w:styleId="smpte-filename-draftChar">
    <w:name w:val="smpte-filename-draft Char"/>
    <w:basedOn w:val="TitleChar"/>
    <w:link w:val="smpte-filename-draft"/>
    <w:rsid w:val="001F4E74"/>
    <w:rPr>
      <w:rFonts w:ascii="Cambria" w:eastAsiaTheme="majorEastAsia" w:hAnsi="Cambria" w:cstheme="majorBidi"/>
      <w:b/>
      <w:caps/>
      <w:color w:val="000087"/>
      <w:kern w:val="36"/>
      <w:sz w:val="32"/>
      <w:szCs w:val="56"/>
      <w:lang w:val="en-US"/>
    </w:rPr>
  </w:style>
  <w:style w:type="paragraph" w:customStyle="1" w:styleId="smpte-hint">
    <w:name w:val="smpte-hint"/>
    <w:basedOn w:val="Normal"/>
    <w:next w:val="Normal"/>
    <w:link w:val="smpte-hintChar"/>
    <w:qFormat/>
    <w:rsid w:val="008627AF"/>
    <w:pPr>
      <w:spacing w:before="0" w:after="0" w:line="216" w:lineRule="auto"/>
    </w:pPr>
    <w:rPr>
      <w:bCs/>
      <w:color w:val="C00000"/>
    </w:rPr>
  </w:style>
  <w:style w:type="character" w:customStyle="1" w:styleId="abstractChar">
    <w:name w:val="abstract Char"/>
    <w:basedOn w:val="DefaultParagraphFont"/>
    <w:link w:val="abstract"/>
    <w:rsid w:val="0036221C"/>
    <w:rPr>
      <w:rFonts w:ascii="Cambria" w:hAnsi="Cambria"/>
      <w:b/>
      <w:color w:val="000087"/>
      <w:sz w:val="24"/>
      <w:szCs w:val="20"/>
      <w:lang w:val="en-US"/>
    </w:rPr>
  </w:style>
  <w:style w:type="paragraph" w:customStyle="1" w:styleId="smpte-boilerplate">
    <w:name w:val="smpte-boilerplate"/>
    <w:basedOn w:val="Normal"/>
    <w:next w:val="Normal"/>
    <w:qFormat/>
    <w:rsid w:val="00C34A0E"/>
    <w:rPr>
      <w:color w:val="000087"/>
    </w:rPr>
  </w:style>
  <w:style w:type="paragraph" w:customStyle="1" w:styleId="smpte-draft-banner">
    <w:name w:val="smpte-draft-banner"/>
    <w:link w:val="smpte-draft-bannerChar"/>
    <w:qFormat/>
    <w:rsid w:val="00336839"/>
    <w:pPr>
      <w:spacing w:before="80" w:after="80" w:line="276" w:lineRule="auto"/>
      <w:jc w:val="center"/>
    </w:pPr>
    <w:rPr>
      <w:rFonts w:ascii="Cambria" w:hAnsi="Cambria"/>
      <w:sz w:val="52"/>
      <w:szCs w:val="52"/>
    </w:rPr>
  </w:style>
  <w:style w:type="character" w:customStyle="1" w:styleId="smpte-draft-bannerChar">
    <w:name w:val="smpte-draft-banner Char"/>
    <w:basedOn w:val="DefaultParagraphFont"/>
    <w:link w:val="smpte-draft-banner"/>
    <w:rsid w:val="00336839"/>
    <w:rPr>
      <w:rFonts w:ascii="Cambria" w:hAnsi="Cambria"/>
      <w:sz w:val="52"/>
      <w:szCs w:val="52"/>
    </w:rPr>
  </w:style>
  <w:style w:type="character" w:customStyle="1" w:styleId="smpte-hintChar">
    <w:name w:val="smpte-hint Char"/>
    <w:basedOn w:val="DefaultParagraphFont"/>
    <w:link w:val="smpte-hint"/>
    <w:rsid w:val="008627AF"/>
    <w:rPr>
      <w:rFonts w:ascii="Cambria" w:hAnsi="Cambria"/>
      <w:bCs/>
      <w:color w:val="C00000"/>
      <w:sz w:val="24"/>
      <w:szCs w:val="20"/>
    </w:rPr>
  </w:style>
  <w:style w:type="character" w:customStyle="1" w:styleId="smpte-ch-hint">
    <w:name w:val="smpte-ch-hint"/>
    <w:basedOn w:val="DefaultParagraphFont"/>
    <w:uiPriority w:val="1"/>
    <w:qFormat/>
    <w:rsid w:val="002058CC"/>
    <w:rPr>
      <w:color w:val="C00000"/>
    </w:rPr>
  </w:style>
  <w:style w:type="character" w:customStyle="1" w:styleId="smpte-ch-boilerplate">
    <w:name w:val="smpte-ch-boilerplate"/>
    <w:basedOn w:val="DefaultParagraphFont"/>
    <w:uiPriority w:val="1"/>
    <w:qFormat/>
    <w:rsid w:val="00D21539"/>
    <w:rPr>
      <w:color w:val="000087"/>
    </w:rPr>
  </w:style>
  <w:style w:type="paragraph" w:customStyle="1" w:styleId="smpte-proposal-block">
    <w:name w:val="smpte-proposal-block"/>
    <w:basedOn w:val="Normal"/>
    <w:next w:val="Normal"/>
    <w:qFormat/>
    <w:rsid w:val="00C114A4"/>
    <w:pPr>
      <w:pBdr>
        <w:left w:val="single" w:sz="24" w:space="4" w:color="auto"/>
        <w:right w:val="single" w:sz="24" w:space="4" w:color="auto"/>
      </w:pBdr>
      <w:shd w:val="clear" w:color="auto" w:fill="D9E2F3" w:themeFill="accent1" w:themeFillTint="33"/>
      <w:spacing w:before="0" w:after="120"/>
      <w:jc w:val="center"/>
    </w:pPr>
    <w:rPr>
      <w:sz w:val="52"/>
    </w:rPr>
  </w:style>
  <w:style w:type="paragraph" w:styleId="BalloonText">
    <w:name w:val="Balloon Text"/>
    <w:basedOn w:val="Normal"/>
    <w:link w:val="BalloonTextChar"/>
    <w:uiPriority w:val="99"/>
    <w:semiHidden/>
    <w:unhideWhenUsed/>
    <w:rsid w:val="00C46006"/>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6006"/>
    <w:rPr>
      <w:rFonts w:ascii="Segoe UI" w:hAnsi="Segoe UI" w:cs="Segoe UI"/>
      <w:sz w:val="18"/>
      <w:szCs w:val="18"/>
    </w:rPr>
  </w:style>
  <w:style w:type="paragraph" w:customStyle="1" w:styleId="smpte-indent">
    <w:name w:val="smpte-indent"/>
    <w:basedOn w:val="Normal"/>
    <w:qFormat/>
    <w:rsid w:val="008627AF"/>
    <w:pPr>
      <w:ind w:left="284"/>
    </w:pPr>
  </w:style>
  <w:style w:type="paragraph" w:customStyle="1" w:styleId="smpte-note">
    <w:name w:val="smpte-note"/>
    <w:basedOn w:val="smpte-indent"/>
    <w:qFormat/>
    <w:rsid w:val="008627AF"/>
    <w:pPr>
      <w:tabs>
        <w:tab w:val="left" w:pos="284"/>
        <w:tab w:val="left" w:pos="567"/>
        <w:tab w:val="left" w:pos="851"/>
        <w:tab w:val="left" w:pos="1134"/>
        <w:tab w:val="left" w:pos="1701"/>
        <w:tab w:val="left" w:pos="1985"/>
        <w:tab w:val="left" w:pos="2268"/>
        <w:tab w:val="left" w:pos="2552"/>
        <w:tab w:val="left" w:pos="2835"/>
        <w:tab w:val="left" w:pos="3119"/>
        <w:tab w:val="left" w:pos="3402"/>
        <w:tab w:val="left" w:pos="3686"/>
        <w:tab w:val="left" w:pos="3969"/>
      </w:tabs>
      <w:ind w:left="568" w:hanging="284"/>
    </w:pPr>
  </w:style>
  <w:style w:type="paragraph" w:customStyle="1" w:styleId="smpte-example">
    <w:name w:val="smpte-example"/>
    <w:basedOn w:val="Normal"/>
    <w:next w:val="Normal"/>
    <w:qFormat/>
    <w:rsid w:val="00814AE0"/>
    <w:pPr>
      <w:ind w:left="568" w:hanging="284"/>
    </w:pPr>
  </w:style>
  <w:style w:type="character" w:customStyle="1" w:styleId="smpte-ch-review-highlight">
    <w:name w:val="smpte-ch-review-highlight"/>
    <w:basedOn w:val="DefaultParagraphFont"/>
    <w:uiPriority w:val="1"/>
    <w:qFormat/>
    <w:rsid w:val="00A90A73"/>
    <w:rPr>
      <w:bdr w:val="none" w:sz="0" w:space="0" w:color="auto"/>
      <w:shd w:val="clear" w:color="auto" w:fill="FFFF00"/>
    </w:rPr>
  </w:style>
  <w:style w:type="character" w:customStyle="1" w:styleId="smpte-ch-review-highlight-green">
    <w:name w:val="smpte-ch-review-highlight-green"/>
    <w:basedOn w:val="DefaultParagraphFont"/>
    <w:uiPriority w:val="1"/>
    <w:qFormat/>
    <w:rsid w:val="00A90A73"/>
    <w:rPr>
      <w:bdr w:val="none" w:sz="0" w:space="0" w:color="auto"/>
      <w:shd w:val="clear" w:color="auto" w:fill="92D050"/>
    </w:rPr>
  </w:style>
  <w:style w:type="paragraph" w:customStyle="1" w:styleId="smpte-caption">
    <w:name w:val="smpte-caption"/>
    <w:basedOn w:val="Normal"/>
    <w:next w:val="Normal"/>
    <w:link w:val="smpte-captionChar"/>
    <w:qFormat/>
    <w:rsid w:val="0045256C"/>
    <w:pPr>
      <w:jc w:val="center"/>
    </w:pPr>
    <w:rPr>
      <w:b/>
    </w:rPr>
  </w:style>
  <w:style w:type="character" w:customStyle="1" w:styleId="smpte-captionChar">
    <w:name w:val="smpte-caption Char"/>
    <w:basedOn w:val="DefaultParagraphFont"/>
    <w:link w:val="smpte-caption"/>
    <w:rsid w:val="0045256C"/>
    <w:rPr>
      <w:rFonts w:ascii="Cambria" w:hAnsi="Cambria"/>
      <w:b/>
      <w:sz w:val="24"/>
      <w:szCs w:val="20"/>
    </w:rPr>
  </w:style>
  <w:style w:type="table" w:customStyle="1" w:styleId="Table">
    <w:name w:val="Table"/>
    <w:semiHidden/>
    <w:unhideWhenUsed/>
    <w:qFormat/>
    <w:rsid w:val="000511B6"/>
    <w:pPr>
      <w:spacing w:before="20" w:after="20" w:line="240" w:lineRule="auto"/>
    </w:pPr>
    <w:rPr>
      <w:rFonts w:ascii="Calibri" w:hAnsi="Calibri"/>
      <w:sz w:val="18"/>
      <w:szCs w:val="20"/>
      <w:lang w:eastAsia="en-GB"/>
    </w:rPr>
    <w:tblPr>
      <w:jc w:val="center"/>
      <w:tblInd w:w="0" w:type="dxa"/>
      <w:tblBorders>
        <w:top w:val="single" w:sz="4" w:space="0" w:color="000000"/>
        <w:left w:val="single" w:sz="4" w:space="0" w:color="000000"/>
        <w:bottom w:val="single" w:sz="4" w:space="0" w:color="000000"/>
        <w:right w:val="single" w:sz="4" w:space="0" w:color="000000"/>
        <w:insideH w:val="single" w:sz="4" w:space="0" w:color="808080"/>
        <w:insideV w:val="single" w:sz="4" w:space="0" w:color="808080"/>
      </w:tblBorders>
      <w:tblCellMar>
        <w:top w:w="0" w:type="dxa"/>
        <w:left w:w="108" w:type="dxa"/>
        <w:bottom w:w="0" w:type="dxa"/>
        <w:right w:w="108" w:type="dxa"/>
      </w:tblCellMar>
    </w:tblPr>
    <w:trPr>
      <w:jc w:val="center"/>
    </w:trPr>
    <w:tblStylePr w:type="firstRow">
      <w:pPr>
        <w:wordWrap/>
        <w:spacing w:beforeLines="0" w:before="40" w:beforeAutospacing="0" w:afterLines="0" w:after="40" w:afterAutospacing="0"/>
        <w:jc w:val="left"/>
      </w:pPr>
      <w:rPr>
        <w:rFonts w:ascii="Calibri" w:hAnsi="Calibri"/>
        <w:b/>
        <w:sz w:val="22"/>
      </w:rPr>
      <w:tblPr/>
      <w:tcPr>
        <w:tcBorders>
          <w:top w:val="single" w:sz="4" w:space="0" w:color="000000"/>
          <w:left w:val="single" w:sz="4" w:space="0" w:color="000000"/>
          <w:bottom w:val="single" w:sz="4" w:space="0" w:color="000000"/>
          <w:right w:val="single" w:sz="4" w:space="0" w:color="000000"/>
          <w:insideH w:val="single" w:sz="8" w:space="0" w:color="000000"/>
          <w:insideV w:val="single" w:sz="8" w:space="0" w:color="000000"/>
          <w:tl2br w:val="nil"/>
          <w:tr2bl w:val="nil"/>
        </w:tcBorders>
        <w:shd w:val="clear" w:color="auto" w:fill="D9D9D9"/>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8681151">
      <w:bodyDiv w:val="1"/>
      <w:marLeft w:val="0"/>
      <w:marRight w:val="0"/>
      <w:marTop w:val="0"/>
      <w:marBottom w:val="0"/>
      <w:divBdr>
        <w:top w:val="none" w:sz="0" w:space="0" w:color="auto"/>
        <w:left w:val="none" w:sz="0" w:space="0" w:color="auto"/>
        <w:bottom w:val="none" w:sz="0" w:space="0" w:color="auto"/>
        <w:right w:val="none" w:sz="0" w:space="0" w:color="auto"/>
      </w:divBdr>
    </w:div>
    <w:div w:id="161297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footer" Target="footer2.xml"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mrMxf-office-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smpte">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1">
            <a:lumMod val="20000"/>
            <a:lumOff val="80000"/>
          </a:schemeClr>
        </a:solidFill>
      </a:spPr>
      <a:bodyPr rtlCol="0" anchor="ctr"/>
      <a:lstStyle/>
      <a:style>
        <a:lnRef idx="1">
          <a:schemeClr val="accent1"/>
        </a:lnRef>
        <a:fillRef idx="2">
          <a:schemeClr val="accent1"/>
        </a:fillRef>
        <a:effectRef idx="1">
          <a:schemeClr val="accent1"/>
        </a:effectRef>
        <a:fontRef idx="minor">
          <a:schemeClr val="dk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436</Words>
  <Characters>2489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imf-registration-api v0.7 changes</vt:lpstr>
    </vt:vector>
  </TitlesOfParts>
  <Company/>
  <LinksUpToDate>false</LinksUpToDate>
  <CharactersWithSpaces>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2021-06-14T15:29:04Z</dcterms:created>
  <dcterms:modified xsi:type="dcterms:W3CDTF">2021-06-14T15:29:04Z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help">
    <vt:lpwstr>This text is replaced with an IPR clause on publication</vt:lpwstr>
  </property>
  <property fmtid="{D5CDD505-2E9C-101B-9397-08002B2CF9AE}" pid="3" name="mustache">
    <vt:lpwstr/>
  </property>
  <property fmtid="{D5CDD505-2E9C-101B-9397-08002B2CF9AE}" pid="4" name="number_headings">
    <vt:lpwstr>False</vt:lpwstr>
  </property>
</Properties>
</file>