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rPr>
          <w:b/>
        </w:rPr>
        <w:t xml:space="preserve">SMPTE ST 2xxx-1:202x</w:t>
      </w:r>
    </w:p>
    <w:p>
      <w:pPr>
        <w:pStyle w:val="smpte-eng-doc-type"/>
      </w:pPr>
      <w:r>
        <w:t xml:space="preserve">SMPTE STANDARD</w:t>
      </w:r>
    </w:p>
    <w:p>
      <w:pPr>
        <w:pStyle w:val="smpte-eng-doc-title"/>
      </w:pPr>
      <w:r>
        <w:t xml:space="preserve">OSA Vocabulay</w:t>
      </w:r>
    </w:p>
    <w:p>
      <w:pPr>
        <w:pStyle w:val="Heading1"/>
      </w:pPr>
      <w:bookmarkStart w:id="20" w:name="foreword"/>
      <w:r>
        <w:t xml:space="preserve">Foreword</w:t>
      </w:r>
      <w:bookmarkEnd w:id="20"/>
    </w:p>
    <w:p>
      <w:pPr>
        <w:pStyle w:val="FirstParagraph"/>
      </w:pPr>
      <w: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t xml:space="preserve">“</w:t>
      </w:r>
      <w:r>
        <w:t xml:space="preserve">s Engineering Documents, including Standards, Recommended Practices, and Engineering Guidelines, are prepared by SMPTE</w:t>
      </w:r>
      <w:r>
        <w:t xml:space="preserve">”</w:t>
      </w:r>
      <w:r>
        <w:t xml:space="preserve">s Technology Committees. Participation in these Committees is open to all with a bona fide interest in their work. SMPTE cooperates closely with other standards-developing organizations, including ISO, IEC and ITU.</w:t>
      </w:r>
    </w:p>
    <w:p>
      <w:pPr>
        <w:pStyle w:val="BodyText"/>
      </w:pPr>
      <w:r>
        <w:t xml:space="preserve">SMPTE Engineering Documents are drafted in accordance with the rules given in its Standards Operations Manual. This SMPTE Engineering Document was prepared by Technology Committee</w:t>
      </w:r>
      <w:r>
        <w:t xml:space="preserve"> </w:t>
      </w:r>
      <w:r>
        <w:t xml:space="preserve">TC-30MR.</w:t>
      </w:r>
    </w:p>
    <w:p>
      <w:pPr>
        <w:pStyle w:val="BodyText"/>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BodyText"/>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BodyText"/>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p>
    <w:p>
      <w:pPr>
        <w:pStyle w:val="BodyText"/>
      </w:pP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BodyText"/>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BodyText"/>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w:t>
      </w:r>
    </w:p>
    <w:p>
      <w:pPr>
        <w:pStyle w:val="BodyText"/>
      </w:pPr>
      <w:r>
        <w:t xml:space="preserve">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r>
        <w:t xml:space="preserve"> </w:t>
      </w: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p>
    <w:p>
      <w:pPr>
        <w:pStyle w:val="BodyText"/>
      </w:pP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BodyText"/>
      </w:pPr>
      <w:r>
        <w:t xml:space="preserve"> </w:t>
      </w:r>
    </w:p>
    <w:p>
      <w:pPr>
        <w:pStyle w:val="Heading1"/>
      </w:pPr>
      <w:bookmarkStart w:id="21" w:name="introduction"/>
      <w:r>
        <w:t xml:space="preserve">Introduction</w:t>
      </w:r>
      <w:bookmarkEnd w:id="21"/>
    </w:p>
    <w:p>
      <w:pPr>
        <w:pStyle w:val="FirstParagraph"/>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BodyText"/>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FirstParagraph"/>
      </w:pPr>
      <w:r>
        <w:t xml:space="preserve">REF, year, Title</w:t>
      </w:r>
    </w:p>
    <w:p>
      <w:pPr>
        <w:pStyle w:val="Heading1"/>
      </w:pPr>
      <w:bookmarkStart w:id="24" w:name="terms-and-definitions"/>
      <w:r>
        <w:t xml:space="preserve">3 Terms and Definitions</w:t>
      </w:r>
      <w:bookmarkEnd w:id="24"/>
    </w:p>
    <w:p>
      <w:pPr>
        <w:pStyle w:val="FirstParagraph"/>
      </w:pPr>
      <w:r>
        <w:t xml:space="preserve">Chuck the T&amp;Ds here</w:t>
      </w:r>
    </w:p>
    <w:p>
      <w:pPr>
        <w:pStyle w:val="BodyText"/>
      </w:pPr>
      <w:r>
        <w:t xml:space="preserve">Chuck the T&amp;Ds here</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t xml:space="preserve">In the source markdown - this shows how to do a figure</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BodyText"/>
      </w:pPr>
      <w:r>
        <w:t xml:space="preserve">In the source markdown - this shows how to do a figure caption. In ISO, caption figures are below pictures and table captions are above figures.</w:t>
      </w:r>
      <w:r>
        <w:t xml:space="preserve"> </w:t>
      </w:r>
      <w:r>
        <w:t xml:space="preserve">The syntax starting with</w:t>
      </w:r>
      <w:r>
        <w:t xml:space="preserve"> </w:t>
      </w:r>
      <w:r>
        <w:rPr>
          <w:rStyle w:val="VerbatimChar"/>
        </w:rPr>
        <w:t xml:space="preserve">:::</w:t>
      </w:r>
      <w:r>
        <w:t xml:space="preserve"> </w:t>
      </w:r>
      <w:r>
        <w:t xml:space="preserve">is known as a fence block and creates a section with a paragraph style in word.</w:t>
      </w:r>
    </w:p>
    <w:p>
      <w:pPr>
        <w:pStyle w:val="smpte-caption"/>
      </w:pPr>
      <w:r>
        <w:t xml:space="preserve">Figure 1 - Single Essence Location Style</w:t>
      </w:r>
    </w:p>
    <w:p>
      <w:pPr>
        <w:pStyle w:val="Heading2"/>
      </w:pPr>
      <w:bookmarkStart w:id="28" w:name="heading-2"/>
      <w:r>
        <w:t xml:space="preserve">4.2 Heading 2</w:t>
      </w:r>
      <w:bookmarkEnd w:id="28"/>
    </w:p>
    <w:p>
      <w:pPr>
        <w:pStyle w:val="FirstParagraph"/>
      </w:pPr>
      <w:r>
        <w:t xml:space="preserve">As shown in Figure 1, this style consists of a Header Partition, a Footer Partition, and a Random Index Pack.</w:t>
      </w:r>
    </w:p>
    <w:p>
      <w:pPr>
        <w:pStyle w:val="BodyText"/>
      </w:pPr>
      <w:r>
        <w:t xml:space="preserve">A bulletted list.</w:t>
      </w:r>
    </w:p>
    <w:p>
      <w:pPr>
        <w:numPr>
          <w:ilvl w:val="0"/>
          <w:numId w:val="1001"/>
        </w:numPr>
        <w:pStyle w:val="Compact"/>
      </w:pPr>
      <w:r>
        <w:t xml:space="preserve">It is easy to handle because of a simple structure</w:t>
      </w:r>
    </w:p>
    <w:p>
      <w:pPr>
        <w:numPr>
          <w:ilvl w:val="0"/>
          <w:numId w:val="1001"/>
        </w:numPr>
        <w:pStyle w:val="Compact"/>
      </w:pPr>
      <w:r>
        <w:t xml:space="preserve">It is easy to edit while file transferring</w:t>
      </w:r>
    </w:p>
    <w:p>
      <w:pPr>
        <w:numPr>
          <w:ilvl w:val="0"/>
          <w:numId w:val="1001"/>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A numbered list.</w:t>
      </w:r>
    </w:p>
    <w:p>
      <w:pPr>
        <w:numPr>
          <w:ilvl w:val="0"/>
          <w:numId w:val="1002"/>
        </w:numPr>
        <w:pStyle w:val="Compact"/>
      </w:pPr>
      <w:r>
        <w:t xml:space="preserve">Index Table Segment::Single Index Location TRUE (Single Location)</w:t>
      </w:r>
    </w:p>
    <w:p>
      <w:pPr>
        <w:numPr>
          <w:ilvl w:val="0"/>
          <w:numId w:val="1002"/>
        </w:numPr>
        <w:pStyle w:val="Compact"/>
      </w:pPr>
      <w:r>
        <w:t xml:space="preserve">Index Table Segment::Single Location TRUE (Single Location)</w:t>
      </w:r>
    </w:p>
    <w:p>
      <w:pPr>
        <w:numPr>
          <w:ilvl w:val="0"/>
          <w:numId w:val="1002"/>
        </w:numPr>
        <w:pStyle w:val="Compact"/>
      </w:pPr>
      <w:r>
        <w:t xml:space="preserve">Index Table Segment::Forward Index Direction TRUE (Forward)</w:t>
      </w:r>
    </w:p>
    <w:p>
      <w:pPr>
        <w:numPr>
          <w:ilvl w:val="0"/>
          <w:numId w:val="1002"/>
        </w:numPr>
        <w:pStyle w:val="Compact"/>
      </w:pPr>
      <w:r>
        <w:t xml:space="preserve">Preface:: is RIP present TRUE</w:t>
      </w:r>
    </w:p>
    <w:p>
      <w:pPr>
        <w:pStyle w:val="Heading2"/>
      </w:pPr>
      <w:bookmarkStart w:id="29" w:name="code-example"/>
      <w:r>
        <w:t xml:space="preserve">4.3 Code example</w:t>
      </w:r>
      <w:bookmarkEnd w:id="29"/>
    </w:p>
    <w:p>
      <w:pPr>
        <w:pStyle w:val="FirstParagraph"/>
      </w:pPr>
      <w:r>
        <w:t xml:space="preserve">Figure 2 below shows some raw JSON for the term</w:t>
      </w:r>
      <w:r>
        <w:t xml:space="preserve"> </w:t>
      </w:r>
      <w:r>
        <w:rPr>
          <w:rStyle w:val="VerbatimChar"/>
        </w:rPr>
        <w:t xml:space="preserve">Interoperability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"https://vocabulary.pbs.org/OSAGlossary/63"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"http://www.w3.org/2004/02/skos/core#Concept"</w:t>
      </w:r>
      <w:r>
        <w:rPr>
          <w:rStyle w:val="OtherTok"/>
        </w:rPr>
        <w:t xml:space="preserve">]</w:t>
      </w:r>
      <w:r>
        <w:rPr>
          <w:rStyle w:val="FunctionTok"/>
        </w:rPr>
        <w:t xml:space="preserve">,</w:t>
      </w:r>
      <w:r>
        <w:br/>
      </w:r>
      <w:r>
        <w:rPr>
          <w:rStyle w:val="NormalTok"/>
        </w:rPr>
        <w:t xml:space="preserve">    </w:t>
      </w:r>
      <w:r>
        <w:rPr>
          <w:rStyle w:val="DataTypeTok"/>
        </w:rPr>
        <w:t xml:space="preserve">"http://purl.org/dc/terms/contributor"</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"https://vocabulary.pbs.org/user/hubbards"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"http://purl.org/dc/terms/created"</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"http://www.w3.org/2001/XMLSchema#dateTime"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"2021-05-20T17:36:31.650Z"</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"http://purl.org/dc/terms/creator"</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"https://vocabulary.pbs.org/user/hubbards"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"http://purl.org/dc/terms/modified"</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"http://www.w3.org/2001/XMLSchema#dateTime"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"2021-05-21T01:00:15.850Z"</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"http://www.w3.org/2004/02/skos/core#definition"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"NIST: The ability of two or more systems or applications to exchange information and to mutually use the information that has been exchanged."</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"http://www.w3.org/2004/02/skos/core#prefLabel"</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"Interoperability"</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"http://www.w3.org/2004/02/skos/core#scopeNote"</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"NIST SP 500-XXX: The NIST Cloud Federation Reference Architecture (Draft)"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"OSA Vocabulary Group (Proposed)"</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"http://www.w3.org/2004/02/skos/core#topConceptOf"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"https://vocabulary.pbs.org/OSAGlossary/0"</w:t>
      </w:r>
      <w:r>
        <w:br/>
      </w:r>
      <w:r>
        <w:rPr>
          <w:rStyle w:val="NormalTok"/>
        </w:rPr>
        <w:t xml:space="preserve">    </w:t>
      </w:r>
      <w:r>
        <w:rPr>
          <w:rStyle w:val="FunctionTok"/>
        </w:rPr>
        <w:t xml:space="preserve">}</w:t>
      </w:r>
      <w:r>
        <w:rPr>
          <w:rStyle w:val="OtherTok"/>
        </w:rPr>
        <w:t xml:space="preserve">]</w:t>
      </w:r>
      <w:r>
        <w:br/>
      </w:r>
      <w:r>
        <w:rPr>
          <w:rStyle w:val="FunctionTok"/>
        </w:rPr>
        <w:t xml:space="preserve">}</w:t>
      </w:r>
    </w:p>
    <w:p>
      <w:pPr>
        <w:pStyle w:val="smpte-caption"/>
      </w:pPr>
      <w:r>
        <w:t xml:space="preserve">Figure 2 - JSON in the raw</w:t>
      </w:r>
    </w:p>
    <w:p>
      <w:pPr>
        <w:pStyle w:val="smpte-caption"/>
      </w:pPr>
      <w:r>
        <w:t xml:space="preserve">Table 1 - Output from raw JSON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 (too complex with Pandoc}</w:t>
            </w:r>
          </w:p>
        </w:tc>
      </w:tr>
      <w:tr>
        <w:tc>
          <w:p>
            <w:pPr>
              <w:pStyle w:val="Compact"/>
              <w:jc w:val="left"/>
            </w:pPr>
            <w:r>
              <w:t xml:space="preserve">Interoperability</w:t>
            </w:r>
          </w:p>
        </w:tc>
        <w:tc>
          <w:p>
            <w:pPr>
              <w:pStyle w:val="Compact"/>
              <w:jc w:val="left"/>
            </w:pPr>
            <w:r>
              <w:t xml:space="preserve">No substitution possible</w:t>
            </w:r>
          </w:p>
        </w:tc>
      </w:tr>
    </w:tbl>
    <w:p>
      <w:pPr>
        <w:pStyle w:val="BodyText"/>
      </w:pPr>
      <w:r>
        <w:t xml:space="preserve">Figure 3 below shows an alternative</w:t>
      </w:r>
      <w:r>
        <w:t xml:space="preserve"> </w:t>
      </w:r>
      <w:r>
        <w:rPr>
          <w:i/>
        </w:rPr>
        <w:t xml:space="preserve">smunched</w:t>
      </w:r>
      <w:r>
        <w:t xml:space="preserve"> </w:t>
      </w:r>
      <w:r>
        <w:t xml:space="preserve">version of the</w:t>
      </w:r>
      <w:r>
        <w:t xml:space="preserve"> </w:t>
      </w:r>
      <w:r>
        <w:rPr>
          <w:rStyle w:val="VerbatimChar"/>
        </w:rPr>
        <w:t xml:space="preserve">.jsonld</w:t>
      </w:r>
      <w:r>
        <w:t xml:space="preserve"> </w:t>
      </w:r>
      <w:r>
        <w:t xml:space="preserve">file to make the documents easier to generate.</w:t>
      </w:r>
      <w:r>
        <w:t xml:space="preserve"> </w:t>
      </w:r>
      <w:r>
        <w:t xml:space="preserve">Basically it rearranges the JSON so that it’s easy for a human to reference a term rather than manage an abstract</w:t>
      </w:r>
      <w:r>
        <w:t xml:space="preserve"> </w:t>
      </w:r>
      <w:r>
        <w:t xml:space="preserve">list of terms with generic relationships.</w:t>
      </w:r>
    </w:p>
    <w:p>
      <w:pPr>
        <w:pStyle w:val="SourceCode"/>
      </w:pPr>
      <w:r>
        <w:rPr>
          <w:rStyle w:val="FunctionTok"/>
        </w:rPr>
        <w:t xml:space="preserve">{</w:t>
      </w:r>
      <w:r>
        <w:br/>
      </w:r>
      <w:r>
        <w:rPr>
          <w:rStyle w:val="NormalTok"/>
        </w:rPr>
        <w:t xml:space="preserve">  </w:t>
      </w:r>
      <w:r>
        <w:rPr>
          <w:rStyle w:val="DataTypeTok"/>
        </w:rPr>
        <w:t xml:space="preserve">"Interoperability"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"63"</w:t>
      </w:r>
      <w:r>
        <w:rPr>
          <w:rStyle w:val="FunctionTok"/>
        </w:rPr>
        <w:t xml:space="preserve">,</w:t>
      </w:r>
      <w:r>
        <w:br/>
      </w:r>
      <w:r>
        <w:rPr>
          <w:rStyle w:val="NormalTok"/>
        </w:rPr>
        <w:t xml:space="preserve">    </w:t>
      </w:r>
      <w:r>
        <w:rPr>
          <w:rStyle w:val="DataTypeTok"/>
        </w:rPr>
        <w:t xml:space="preserve">"contributor"</w:t>
      </w:r>
      <w:r>
        <w:rPr>
          <w:rStyle w:val="FunctionTok"/>
        </w:rPr>
        <w:t xml:space="preserve">:</w:t>
      </w:r>
      <w:r>
        <w:rPr>
          <w:rStyle w:val="NormalTok"/>
        </w:rPr>
        <w:t xml:space="preserve"> </w:t>
      </w:r>
      <w:r>
        <w:rPr>
          <w:rStyle w:val="StringTok"/>
        </w:rPr>
        <w:t xml:space="preserve">"hubbards"</w:t>
      </w:r>
      <w:r>
        <w:rPr>
          <w:rStyle w:val="FunctionTok"/>
        </w:rPr>
        <w:t xml:space="preserve">,</w:t>
      </w:r>
      <w:r>
        <w:br/>
      </w:r>
      <w:r>
        <w:rPr>
          <w:rStyle w:val="NormalTok"/>
        </w:rPr>
        <w:t xml:space="preserve">    </w:t>
      </w:r>
      <w:r>
        <w:rPr>
          <w:rStyle w:val="DataTypeTok"/>
        </w:rPr>
        <w:t xml:space="preserve">"definition"</w:t>
      </w:r>
      <w:r>
        <w:rPr>
          <w:rStyle w:val="FunctionTok"/>
        </w:rPr>
        <w:t xml:space="preserve">:</w:t>
      </w:r>
      <w:r>
        <w:rPr>
          <w:rStyle w:val="NormalTok"/>
        </w:rPr>
        <w:t xml:space="preserve"> </w:t>
      </w:r>
      <w:r>
        <w:rPr>
          <w:rStyle w:val="StringTok"/>
        </w:rPr>
        <w:t xml:space="preserve">"NIST: The ability of two or more systems or applications to exchange information and to mutually use the information that has been exchanged."</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"Interoperability"</w:t>
      </w:r>
      <w:r>
        <w:rPr>
          <w:rStyle w:val="FunctionTok"/>
        </w:rPr>
        <w:t xml:space="preserve">,</w:t>
      </w:r>
      <w:r>
        <w:br/>
      </w:r>
      <w:r>
        <w:rPr>
          <w:rStyle w:val="NormalTok"/>
        </w:rPr>
        <w:t xml:space="preserve">    </w:t>
      </w:r>
      <w:r>
        <w:rPr>
          <w:rStyle w:val="DataTypeTok"/>
        </w:rPr>
        <w:t xml:space="preserve">"note"</w:t>
      </w:r>
      <w:r>
        <w:rPr>
          <w:rStyle w:val="FunctionTok"/>
        </w:rPr>
        <w:t xml:space="preserve">:</w:t>
      </w:r>
      <w:r>
        <w:rPr>
          <w:rStyle w:val="NormalTok"/>
        </w:rPr>
        <w:t xml:space="preserve"> </w:t>
      </w:r>
      <w:r>
        <w:rPr>
          <w:rStyle w:val="StringTok"/>
        </w:rPr>
        <w:t xml:space="preserve">"NIST SP 500-XXX: The NIST Cloud Federation Reference Architecture (Draft)"</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"Proposed"</w:t>
      </w:r>
      <w:r>
        <w:br/>
      </w:r>
      <w:r>
        <w:rPr>
          <w:rStyle w:val="NormalTok"/>
        </w:rPr>
        <w:t xml:space="preserve">  </w:t>
      </w:r>
      <w:r>
        <w:rPr>
          <w:rStyle w:val="FunctionTok"/>
        </w:rPr>
        <w:t xml:space="preserve">}</w:t>
      </w:r>
      <w:r>
        <w:br/>
      </w:r>
      <w:r>
        <w:rPr>
          <w:rStyle w:val="FunctionTok"/>
        </w:rPr>
        <w:t xml:space="preserve">}</w:t>
      </w:r>
    </w:p>
    <w:p>
      <w:pPr>
        <w:pStyle w:val="smpte-caption"/>
      </w:pPr>
      <w:r>
        <w:t xml:space="preserve">Figure 3 - smunched JSON</w:t>
      </w:r>
    </w:p>
    <w:p>
      <w:pPr>
        <w:pStyle w:val="smpte-caption"/>
      </w:pPr>
      <w:r>
        <w:t xml:space="preserve">Table 2 - Output from smunched JSON</w:t>
      </w:r>
    </w:p>
    <w:tbl>
      <w:tblPr>
        <w:tblStyle w:val="Table"/>
        <w:tblW w:type="pct" w:w="5000.0"/>
        <w:tblLook w:firstRow="1" w:lastRow="0" w:firstColumn="0" w:lastColumn="0" w:noHBand="0" w:noVBand="0"/>
      </w:tblPr>
      <w:tblGrid>
        <w:gridCol w:w="2394"/>
        <w:gridCol w:w="1657"/>
        <w:gridCol w:w="3499"/>
        <w:gridCol w:w="368"/>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Note</w:t>
            </w:r>
          </w:p>
        </w:tc>
      </w:tr>
      <w:tr>
        <w:tc>
          <w:p>
            <w:pPr>
              <w:pStyle w:val="Compact"/>
              <w:jc w:val="left"/>
            </w:pPr>
            <w:r>
              <w:t xml:space="preserve">63</w:t>
            </w:r>
          </w:p>
        </w:tc>
        <w:tc>
          <w:p>
            <w:pPr>
              <w:pStyle w:val="Compact"/>
              <w:jc w:val="left"/>
            </w:pPr>
            <w:r>
              <w:t xml:space="preserve">Interoperability</w:t>
            </w:r>
          </w:p>
        </w:tc>
        <w:tc>
          <w:p>
            <w:pPr>
              <w:pStyle w:val="Compact"/>
              <w:jc w:val="left"/>
            </w:pPr>
            <w:r>
              <w:t xml:space="preserve">NIST: The ability of two or more systems or applications to exchange information and to mutually use the information that has been exchanged.</w:t>
            </w:r>
          </w:p>
        </w:tc>
        <w:tc>
          <w:p>
            <w:pPr>
              <w:pStyle w:val="Compact"/>
              <w:jc w:val="left"/>
            </w:pPr>
            <w:r>
              <w:t xml:space="preserve">NIST SP 500-XXX: The NIST Cloud Federation Reference Architecture (Draft)</w:t>
            </w:r>
          </w:p>
        </w:tc>
      </w:tr>
    </w:tbl>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2021-06-14T16:33:03Z</dcterms:created>
  <dcterms:modified xsi:type="dcterms:W3CDTF">2021-06-14T16:33:03Z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y fmtid="{D5CDD505-2E9C-101B-9397-08002B2CF9AE}" pid="4" name="number_headings">
    <vt:lpwstr>False</vt:lpwstr>
  </property>
</Properties>
</file>