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e-registration-2026-27-forward-probe"/>
    <w:p>
      <w:pPr>
        <w:pStyle w:val="Heading1"/>
      </w:pPr>
      <w:r>
        <w:t xml:space="preserve">Pre-registration — 2026-27 forward Probe</w:t>
      </w:r>
    </w:p>
    <w:p>
      <w:pPr>
        <w:pStyle w:val="FirstParagraph"/>
      </w:pPr>
      <w:r>
        <w:rPr>
          <w:b/>
          <w:bCs/>
        </w:rPr>
        <w:t xml:space="preserve">Date written:</w:t>
      </w:r>
      <w:r>
        <w:t xml:space="preserve"> </w:t>
      </w:r>
      <w:r>
        <w:t xml:space="preserve">2026-05-05 (committed before the 2026-27 NBA preseason exists)</w:t>
      </w:r>
      <w:r>
        <w:t xml:space="preserve"> </w:t>
      </w:r>
      <w:r>
        <w:rPr>
          <w:b/>
          <w:bCs/>
        </w:rPr>
        <w:t xml:space="preserve">Status when written:</w:t>
      </w:r>
      <w:r>
        <w:t xml:space="preserve"> </w:t>
      </w:r>
      <w:r>
        <w:t xml:space="preserve">2026-27 NBA regular season has not yet started (typical season opener: late October 2026, ~5 months from now). 2026-27 box scores, preseason projections, and any associated residuals do not yet exist. This document is dated and archived before any 2026-27 data is observable.</w:t>
      </w:r>
    </w:p>
    <w:bookmarkStart w:id="1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This pre-registration extends the multi-season-pre-registration discipline applied across 23-24, 24-25, and 25-26 (multi-season pre-registration document at</w:t>
      </w:r>
      <w:r>
        <w:t xml:space="preserve"> </w:t>
      </w:r>
      <w:hyperlink r:id="rId9">
        <w:r>
          <w:rPr>
            <w:rStyle w:val="Hyperlink"/>
          </w:rPr>
          <w:t xml:space="preserve">audit_runs/probe_b_prime_coarse/PRE_REGISTRATION_multi_season.md</w:t>
        </w:r>
      </w:hyperlink>
      <w:r>
        <w:t xml:space="preserve">). That earlier document committed a Tier-1 hypothesis (</w:t>
      </w:r>
      <w:r>
        <w:rPr>
          <w:rStyle w:val="VerbatimChar"/>
        </w:rPr>
        <w:t xml:space="preserve">top_record + early_season + home</w:t>
      </w:r>
      <w:r>
        <w:t xml:space="preserve"> </w:t>
      </w:r>
      <w:r>
        <w:t xml:space="preserve">theme) before the 23-24 / 24-25 multi-season residuals existed. The multi-season Probe yielded NULL on that Tier-1 hypothesis (Section 5.3 of the paper draft).</w:t>
      </w:r>
    </w:p>
    <w:p>
      <w:pPr>
        <w:pStyle w:val="BodyText"/>
      </w:pPr>
      <w:r>
        <w:t xml:space="preserve">In separate exploratory analysis on the 23-25 pooled residuals at a coarser 24-config space, two cohorts independently flagged a different theme (</w:t>
      </w:r>
      <w:r>
        <w:rPr>
          <w:rStyle w:val="VerbatimChar"/>
        </w:rPr>
        <w:t xml:space="preserve">high_defense_opponent + bottom_record + away</w:t>
      </w:r>
      <w:r>
        <w:t xml:space="preserve">) at nominal but not Bonferroni-corrected significance. This observation is reported in Section 5.5.1 of the paper draft as exploratory.</w:t>
      </w:r>
    </w:p>
    <w:p>
      <w:pPr>
        <w:pStyle w:val="BodyText"/>
      </w:pPr>
      <w:r>
        <w:t xml:space="preserve">A natural temptation is to elevate this exploratory theme to Tier-1 status for 26-27.</w:t>
      </w:r>
      <w:r>
        <w:t xml:space="preserve"> </w:t>
      </w:r>
      <w:r>
        <w:rPr>
          <w:b/>
          <w:bCs/>
        </w:rPr>
        <w:t xml:space="preserve">We explicitly do not.</w:t>
      </w:r>
      <w:r>
        <w:t xml:space="preserve"> </w:t>
      </w:r>
      <w:r>
        <w:t xml:space="preserve">Promoting an observed theme to Tier-1 status for the next pre-registration cycle would convert post-hoc theme discovery into a privileged future test, which is exactly the discipline failure that pre-registration is designed to prevent. The discipline survives only if the only themes receiving single-test α = 0.05 treatment are themes committed before any informative data exists.</w:t>
      </w:r>
    </w:p>
    <w:p>
      <w:pPr>
        <w:pStyle w:val="BodyText"/>
      </w:pPr>
      <w:r>
        <w:t xml:space="preserve">This document fixes the 26-27 protocol with that discipline.</w:t>
      </w:r>
    </w:p>
    <w:bookmarkEnd w:id="10"/>
    <w:bookmarkStart w:id="11" w:name="X5f6cd72180b1ec9122f1f7e69227cc923d3d3d7"/>
    <w:p>
      <w:pPr>
        <w:pStyle w:val="Heading2"/>
      </w:pPr>
      <w:r>
        <w:t xml:space="preserve">The pre-registered hypothesis (single Tier-1, carried forward unchanged)</w:t>
      </w:r>
    </w:p>
    <w:p>
      <w:pPr>
        <w:pStyle w:val="FirstParagraph"/>
      </w:pPr>
      <w:r>
        <w:rPr>
          <w:b/>
          <w:bCs/>
        </w:rPr>
        <w:t xml:space="preserve">Hypothesis Tier-1:</w:t>
      </w:r>
      <w:r>
        <w:t xml:space="preserve"> </w:t>
      </w:r>
      <w:r>
        <w:t xml:space="preserve">When the 2026-27 forward residuals exist and are processed through the same Probe pipeline (per-game residuals from a v6.1-LOCKED-architecture 26-27 forward ship, tagged with the 72-config space</w:t>
      </w:r>
      <w:r>
        <w:t xml:space="preserve"> </w:t>
      </w:r>
      <w:r>
        <w:rPr>
          <w:rStyle w:val="VerbatimChar"/>
        </w:rPr>
        <w:t xml:space="preserve">opp_class × record_tier × season_phase × home_away</w:t>
      </w:r>
      <w:r>
        <w:t xml:space="preserve">, clustered at k* via average linkage on combined moment + characteristic-function distance), the outlier cluster will be dominated by configurations sharing the joint theme:</w:t>
      </w:r>
    </w:p>
    <w:p>
      <w:pPr>
        <w:pStyle w:val="SourceCode"/>
      </w:pPr>
      <w:r>
        <w:rPr>
          <w:rStyle w:val="VerbatimChar"/>
        </w:rPr>
        <w:t xml:space="preserve">top_record_tier (current-season win pct &gt;= 0.55 as of game date)</w:t>
      </w:r>
      <w:r>
        <w:br/>
      </w:r>
      <w:r>
        <w:rPr>
          <w:rStyle w:val="VerbatimChar"/>
        </w:rPr>
        <w:t xml:space="preserve">   + early_season (game_date &lt; 26-27 All-Star OR team_game_n &lt;= 30)</w:t>
      </w:r>
      <w:r>
        <w:br/>
      </w:r>
      <w:r>
        <w:rPr>
          <w:rStyle w:val="VerbatimChar"/>
        </w:rPr>
        <w:t xml:space="preserve">   + home_away = home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theme committed in the multi-season pre-registration (May 2026). It failed across 23-25. The 26-27 retest provides additional null evidence on the same hypothesis if it fails again, or genuine confirmation of residue-class structure on novel data if it succeeds.</w:t>
      </w:r>
    </w:p>
    <w:p>
      <w:pPr>
        <w:pStyle w:val="BodyText"/>
      </w:pPr>
      <w:r>
        <w:rPr>
          <w:b/>
          <w:bCs/>
        </w:rPr>
        <w:t xml:space="preserve">Decision rule: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Tier-1 CONFIRMED</w:t>
      </w:r>
      <w:r>
        <w:t xml:space="preserve">: outlier cluster at k* contains ≥ 2 configurations sharing the theme AND p &lt; 0.05 single-test (no Bonferroni since pre-registered) AND k* ∈ [4, 16] gate met.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Tier-1 FAILED</w:t>
      </w:r>
      <w:r>
        <w:t xml:space="preserve">: any of the above conditions not met. Reported as additional null evidence on the original hypothesis, accumulating across two pre-registration cycles.</w:t>
      </w:r>
    </w:p>
    <w:bookmarkEnd w:id="11"/>
    <w:bookmarkStart w:id="12" w:name="the-exploratory-high_bottom_away-theme"/>
    <w:p>
      <w:pPr>
        <w:pStyle w:val="Heading2"/>
      </w:pPr>
      <w:r>
        <w:t xml:space="preserve">The exploratory</w:t>
      </w:r>
      <w:r>
        <w:t xml:space="preserve"> </w:t>
      </w:r>
      <w:r>
        <w:rPr>
          <w:rStyle w:val="VerbatimChar"/>
        </w:rPr>
        <w:t xml:space="preserve">high_bottom_away</w:t>
      </w:r>
      <w:r>
        <w:t xml:space="preserve"> </w:t>
      </w:r>
      <w:r>
        <w:t xml:space="preserve">theme</w:t>
      </w:r>
    </w:p>
    <w:p>
      <w:pPr>
        <w:pStyle w:val="FirstParagraph"/>
      </w:pPr>
      <w:r>
        <w:t xml:space="preserve">Section 5.5.1 reports that two cohorts (soph Guard / PTS at p = 0.037 and vet Forward / AST at p = 0.083) independently flagged outlier configurations sharing a</w:t>
      </w:r>
      <w:r>
        <w:t xml:space="preserve"> </w:t>
      </w:r>
      <w:r>
        <w:rPr>
          <w:rStyle w:val="VerbatimChar"/>
        </w:rPr>
        <w:t xml:space="preserve">high_defense_opponent + bottom_record + away</w:t>
      </w:r>
      <w:r>
        <w:t xml:space="preserve"> </w:t>
      </w:r>
      <w:r>
        <w:t xml:space="preserve">theme in the 23-25-pooled 24-config Probe.</w:t>
      </w:r>
    </w:p>
    <w:p>
      <w:pPr>
        <w:pStyle w:val="BodyText"/>
      </w:pPr>
      <w:r>
        <w:rPr>
          <w:b/>
          <w:bCs/>
        </w:rPr>
        <w:t xml:space="preserve">This theme is NOT pre-registered as Tier-1 for 26-27.</w:t>
      </w:r>
      <w:r>
        <w:t xml:space="preserve"> </w:t>
      </w:r>
      <w:r>
        <w:t xml:space="preserve">It is treated like any other unanticipated theme that might appear in the 26-27 exploratory analysis: subject to Bonferroni correction at the cell-count of the 26-27 probe, with no privileged single-test α treatment.</w:t>
      </w:r>
    </w:p>
    <w:p>
      <w:pPr>
        <w:pStyle w:val="BodyText"/>
      </w:pPr>
      <w:r>
        <w:rPr>
          <w:b/>
          <w:bCs/>
        </w:rPr>
        <w:t xml:space="preserve">Decision rule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high_bottom_away</w:t>
      </w:r>
      <w:r>
        <w:rPr>
          <w:b/>
          <w:bCs/>
        </w:rPr>
        <w:t xml:space="preserve"> </w:t>
      </w:r>
      <w:r>
        <w:rPr>
          <w:b/>
          <w:bCs/>
        </w:rPr>
        <w:t xml:space="preserve">(and any other non-pre-registered theme) in 26-27: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EXPLORATORY-CONFIRMED</w:t>
      </w:r>
      <w:r>
        <w:t xml:space="preserve">: a theme (including</w:t>
      </w:r>
      <w:r>
        <w:t xml:space="preserve"> </w:t>
      </w:r>
      <w:r>
        <w:rPr>
          <w:rStyle w:val="VerbatimChar"/>
        </w:rPr>
        <w:t xml:space="preserve">high_bottom_away</w:t>
      </w:r>
      <w:r>
        <w:t xml:space="preserve">) survives Bonferroni-corrected α at the 26-27 probe’s cell-count AND appears in at least one cohort’s outlier cluster at k* AND k* ∈ [4, 16].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CONFIRMED</w:t>
      </w:r>
      <w:r>
        <w:t xml:space="preserve">: the theme does not survive Bonferroni correction.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high_bottom_away</w:t>
      </w:r>
      <w:r>
        <w:t xml:space="preserve"> </w:t>
      </w:r>
      <w:r>
        <w:t xml:space="preserve">survives Bonferroni in 26-27, the publishable framing is</w:t>
      </w:r>
      <w:r>
        <w:t xml:space="preserve"> </w:t>
      </w:r>
      <w:r>
        <w:t xml:space="preserve">“exploratory observation in 23-25 replicates on novel 26-27 data under Bonferroni-corrected exploratory testing.”</w:t>
      </w:r>
      <w:r>
        <w:t xml:space="preserve"> </w:t>
      </w:r>
      <w:r>
        <w:t xml:space="preserve">The bar is appropriately higher than Tier-1’s bar precisely because the theme was not pre-registered.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high_bottom_away</w:t>
      </w:r>
      <w:r>
        <w:t xml:space="preserve"> </w:t>
      </w:r>
      <w:r>
        <w:t xml:space="preserve">does not survive Bonferroni in 26-27, the publishable framing is</w:t>
      </w:r>
      <w:r>
        <w:t xml:space="preserve"> </w:t>
      </w:r>
      <w:r>
        <w:t xml:space="preserve">“the 23-25 exploratory observation does not replicate on novel data; over-fitting to the 23-25 window is the most likely explanation.”</w:t>
      </w:r>
    </w:p>
    <w:bookmarkEnd w:id="12"/>
    <w:bookmarkStart w:id="17" w:name="outcomes-locked-here"/>
    <w:p>
      <w:pPr>
        <w:pStyle w:val="Heading2"/>
      </w:pPr>
      <w:r>
        <w:t xml:space="preserve">Outcomes locked here</w:t>
      </w:r>
    </w:p>
    <w:p>
      <w:pPr>
        <w:pStyle w:val="FirstParagraph"/>
      </w:pPr>
      <w:r>
        <w:t xml:space="preserve">When the 26-27 residuals are available and processed:</w:t>
      </w:r>
    </w:p>
    <w:bookmarkStart w:id="13" w:name="outcome-1-tier-1-confirms"/>
    <w:p>
      <w:pPr>
        <w:pStyle w:val="Heading3"/>
      </w:pPr>
      <w:r>
        <w:t xml:space="preserve">Outcome 1 — Tier-1 confirms</w:t>
      </w:r>
    </w:p>
    <w:p>
      <w:pPr>
        <w:pStyle w:val="FirstParagraph"/>
      </w:pPr>
      <w:r>
        <w:rPr>
          <w:rStyle w:val="VerbatimChar"/>
        </w:rPr>
        <w:t xml:space="preserve">top_record + early + home</w:t>
      </w:r>
      <w:r>
        <w:t xml:space="preserve"> </w:t>
      </w:r>
      <w:r>
        <w:t xml:space="preserve">survives single-test α = 0.05 AND k* ∈ [4, 16] in at least one cohort × stat cell.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Paper response:</w:t>
      </w:r>
      <w:r>
        <w:t xml:space="preserve"> </w:t>
      </w:r>
      <w:r>
        <w:t xml:space="preserve">the original Tier-1 hypothesis revives. Genuine residue-class structure of the originally-predicted form has been detected on truly out-of-sample data after a multi-season failure. Strong evidence for the framework’s predictions.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Methodology section response:</w:t>
      </w:r>
      <w:r>
        <w:t xml:space="preserve"> </w:t>
      </w:r>
      <w:r>
        <w:t xml:space="preserve">report the cycle as</w:t>
      </w:r>
      <w:r>
        <w:t xml:space="preserve"> </w:t>
      </w:r>
      <w:r>
        <w:t xml:space="preserve">“the prediction was made before the 23-25 data existed; failed across 23-25; was carried forward unchanged into the 26-27 pre-registration; confirmed on novel 26-27 data.”</w:t>
      </w:r>
      <w:r>
        <w:t xml:space="preserve"> </w:t>
      </w:r>
      <w:r>
        <w:t xml:space="preserve">This is the strongest pre-registration outcome available.</w:t>
      </w:r>
    </w:p>
    <w:bookmarkEnd w:id="13"/>
    <w:bookmarkStart w:id="14" w:name="X440eed6bd0e13e0f55896fa22d9d83247f84a32"/>
    <w:p>
      <w:pPr>
        <w:pStyle w:val="Heading3"/>
      </w:pPr>
      <w:r>
        <w:t xml:space="preserve">Outcome 2 — Tier-2 confirms (Bonferroni-survived exploratory hit)</w:t>
      </w:r>
    </w:p>
    <w:p>
      <w:pPr>
        <w:pStyle w:val="FirstParagraph"/>
      </w:pPr>
      <w:r>
        <w:t xml:space="preserve">Some theme (whether or not it includes</w:t>
      </w:r>
      <w:r>
        <w:t xml:space="preserve"> </w:t>
      </w:r>
      <w:r>
        <w:rPr>
          <w:rStyle w:val="VerbatimChar"/>
        </w:rPr>
        <w:t xml:space="preserve">high_bottom_away</w:t>
      </w:r>
      <w:r>
        <w:t xml:space="preserve">) survives Bonferroni-corrected α in the 26-27 probe.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Paper response:</w:t>
      </w:r>
      <w:r>
        <w:t xml:space="preserve"> </w:t>
      </w:r>
      <w:r>
        <w:t xml:space="preserve">publishable exploratory replication. The theme that survives is reported as the genuine finding, with explicit notation of whether it was previously observed in 23-25 exploratory analysis or is a new emergence.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Methodology section response:</w:t>
      </w:r>
      <w:r>
        <w:t xml:space="preserve"> </w:t>
      </w:r>
      <w:r>
        <w:t xml:space="preserve">the strict-significance pipeline is functioning as designed. Tier-2 hits at Bonferroni-corrected α are credible findings that survived appropriate correction; Tier-1 hits are stronger because they were committed in advance.</w:t>
      </w:r>
    </w:p>
    <w:bookmarkEnd w:id="14"/>
    <w:bookmarkStart w:id="15" w:name="outcome-3-both-null"/>
    <w:p>
      <w:pPr>
        <w:pStyle w:val="Heading3"/>
      </w:pPr>
      <w:r>
        <w:t xml:space="preserve">Outcome 3 — Both null</w:t>
      </w:r>
    </w:p>
    <w:p>
      <w:pPr>
        <w:pStyle w:val="FirstParagraph"/>
      </w:pPr>
      <w:r>
        <w:t xml:space="preserve">Tier-1 fails AND no Tier-2 theme survives Bonferroni.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Paper response:</w:t>
      </w:r>
      <w:r>
        <w:t xml:space="preserve"> </w:t>
      </w:r>
      <w:r>
        <w:t xml:space="preserve">the multi-season-pooled-plus-26-27-forward null is the most decisive available negative on the contextual residue-class hypothesis. After four seasons of testing including one pre-registered hypothesis and an exploratory follow-up cycle, structure of the predicted form is not detectable in NBA box-score-only contextual axes.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Methodology section response:</w:t>
      </w:r>
      <w:r>
        <w:t xml:space="preserve"> </w:t>
      </w:r>
      <w:r>
        <w:t xml:space="preserve">the framework’s predicted asymmetric structure (Section 5.2) is supported; the framework’s predicted contextual structure (Section 5.3 and §5.5) is not. Two distinct claims; one supported, one not. Reported with equal prominence.</w:t>
      </w:r>
    </w:p>
    <w:bookmarkEnd w:id="15"/>
    <w:bookmarkStart w:id="16" w:name="X2e92837332b97ba950050f190cae84be474b88c"/>
    <w:p>
      <w:pPr>
        <w:pStyle w:val="Heading3"/>
      </w:pPr>
      <w:r>
        <w:t xml:space="preserve">Outcome 4 — Tier-1 confirms AND Tier-2 confirms</w:t>
      </w:r>
    </w:p>
    <w:p>
      <w:pPr>
        <w:pStyle w:val="FirstParagraph"/>
      </w:pPr>
      <w:r>
        <w:t xml:space="preserve">The strongest available outcome.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Paper response:</w:t>
      </w:r>
      <w:r>
        <w:t xml:space="preserve"> </w:t>
      </w:r>
      <w:r>
        <w:t xml:space="preserve">combined evidence for both pre-registered structure and Bonferroni-survived exploratory structure. The framework’s predictions track multiple residue-class axes.</w:t>
      </w:r>
    </w:p>
    <w:bookmarkEnd w:id="16"/>
    <w:bookmarkEnd w:id="17"/>
    <w:bookmarkStart w:id="18" w:name="what-this-document-does-not-do"/>
    <w:p>
      <w:pPr>
        <w:pStyle w:val="Heading2"/>
      </w:pPr>
      <w:r>
        <w:t xml:space="preserve">What this document does NOT do</w:t>
      </w:r>
    </w:p>
    <w:p>
      <w:pPr>
        <w:pStyle w:val="Compact"/>
        <w:numPr>
          <w:ilvl w:val="0"/>
          <w:numId w:val="1002"/>
        </w:numPr>
      </w:pPr>
      <w:r>
        <w:t xml:space="preserve">It does not pre-register the</w:t>
      </w:r>
      <w:r>
        <w:t xml:space="preserve"> </w:t>
      </w:r>
      <w:r>
        <w:rPr>
          <w:rStyle w:val="VerbatimChar"/>
        </w:rPr>
        <w:t xml:space="preserve">high_bottom_away</w:t>
      </w:r>
      <w:r>
        <w:t xml:space="preserve"> </w:t>
      </w:r>
      <w:r>
        <w:t xml:space="preserve">theme. That theme remains exploratory in this paper; it gets no privileged future test.</w:t>
      </w:r>
    </w:p>
    <w:p>
      <w:pPr>
        <w:pStyle w:val="Compact"/>
        <w:numPr>
          <w:ilvl w:val="0"/>
          <w:numId w:val="1002"/>
        </w:numPr>
      </w:pPr>
      <w:r>
        <w:t xml:space="preserve">It does not pre-register additional themes from any other exploratory analysis on the 23-25 data window. The discipline is that pre-registered themes are committed before informative data; we have already used the 23-25 window for theme discovery, so additional themes cannot be promoted from that window without violating the discipline.</w:t>
      </w:r>
    </w:p>
    <w:p>
      <w:pPr>
        <w:pStyle w:val="Compact"/>
        <w:numPr>
          <w:ilvl w:val="0"/>
          <w:numId w:val="1002"/>
        </w:numPr>
      </w:pPr>
      <w:r>
        <w:t xml:space="preserve">It does not commit specific cohort sample sizes for 26-27 (those depend on the 26-27 cohort widening pipeline output, which has not yet been run). The 26-27 ship cohort is expected to be of comparable size to the 25-26 ship’s 567 players.</w:t>
      </w:r>
    </w:p>
    <w:bookmarkEnd w:id="18"/>
    <w:bookmarkStart w:id="19" w:name="X06a112bfa9031d6bea1178a4074631ba2596dee"/>
    <w:p>
      <w:pPr>
        <w:pStyle w:val="Heading2"/>
      </w:pPr>
      <w:r>
        <w:t xml:space="preserve">Test pipeline (to be run when 26-27 residuals exist)</w:t>
      </w:r>
    </w:p>
    <w:p>
      <w:pPr>
        <w:pStyle w:val="Compact"/>
        <w:numPr>
          <w:ilvl w:val="0"/>
          <w:numId w:val="1003"/>
        </w:numPr>
      </w:pPr>
      <w:r>
        <w:t xml:space="preserve">Generate 26-27 forward ship using the same v6.1 LOCKED architecture (Stan posterior + cohort widening hybrid v3 + LOCKED offsets), as in 25-26.</w:t>
      </w:r>
    </w:p>
    <w:p>
      <w:pPr>
        <w:pStyle w:val="Compact"/>
        <w:numPr>
          <w:ilvl w:val="0"/>
          <w:numId w:val="1003"/>
        </w:numPr>
      </w:pPr>
      <w:r>
        <w:t xml:space="preserve">Score against 26-27 actuals; produce per-player and per-game residuals.</w:t>
      </w:r>
    </w:p>
    <w:p>
      <w:pPr>
        <w:pStyle w:val="Compact"/>
        <w:numPr>
          <w:ilvl w:val="0"/>
          <w:numId w:val="1003"/>
        </w:numPr>
      </w:pPr>
      <w:r>
        <w:t xml:space="preserve">Tag per-game residuals with the 72-config space using prior-season (25-26) defensive rating quartile for opp_class, rolling current-season win pct for record_tier, calendar phase for season_phase,</w:t>
      </w:r>
      <w:r>
        <w:t xml:space="preserve"> </w:t>
      </w:r>
      <w:r>
        <w:rPr>
          <w:rStyle w:val="VerbatimChar"/>
        </w:rPr>
        <w:t xml:space="preserve">is_home</w:t>
      </w:r>
      <w:r>
        <w:t xml:space="preserve"> </w:t>
      </w:r>
      <w:r>
        <w:t xml:space="preserve">for home_away.</w:t>
      </w:r>
    </w:p>
    <w:p>
      <w:pPr>
        <w:pStyle w:val="Compact"/>
        <w:numPr>
          <w:ilvl w:val="0"/>
          <w:numId w:val="1003"/>
        </w:numPr>
      </w:pPr>
      <w:r>
        <w:t xml:space="preserve">For each cohort × stat cell (9 cohorts × 3 stats = 27, with insufficient-sample cells dropped), run hierarchical agglomerative clustering with average linkage on combined moment + CF distance.</w:t>
      </w:r>
    </w:p>
    <w:p>
      <w:pPr>
        <w:pStyle w:val="Compact"/>
        <w:numPr>
          <w:ilvl w:val="0"/>
          <w:numId w:val="1003"/>
        </w:numPr>
      </w:pPr>
      <w:r>
        <w:t xml:space="preserve">Compute bootstrap null at 500 reps per cell.</w:t>
      </w:r>
    </w:p>
    <w:p>
      <w:pPr>
        <w:pStyle w:val="Compact"/>
        <w:numPr>
          <w:ilvl w:val="0"/>
          <w:numId w:val="1003"/>
        </w:numPr>
      </w:pPr>
      <w:r>
        <w:t xml:space="preserve">Report against the decision rules above.</w:t>
      </w:r>
    </w:p>
    <w:bookmarkEnd w:id="19"/>
    <w:bookmarkStart w:id="22" w:name="signature"/>
    <w:p>
      <w:pPr>
        <w:pStyle w:val="Heading2"/>
      </w:pPr>
      <w:r>
        <w:t xml:space="preserve">Signature</w:t>
      </w:r>
    </w:p>
    <w:p>
      <w:pPr>
        <w:pStyle w:val="FirstParagraph"/>
      </w:pPr>
      <w:r>
        <w:t xml:space="preserve">Pre-registered before 26-27 residuals exist. Located alongside the multi-season pre-registration at</w:t>
      </w:r>
      <w:r>
        <w:t xml:space="preserve"> </w:t>
      </w:r>
      <w:hyperlink r:id="rId20">
        <w:r>
          <w:rPr>
            <w:rStyle w:val="Hyperlink"/>
          </w:rPr>
          <w:t xml:space="preserve">audit_runs/probe_b_2627_pre_registration/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Local time of writing: 2026-05-05, evening</w:t>
      </w:r>
    </w:p>
    <w:p>
      <w:pPr>
        <w:pStyle w:val="Compact"/>
        <w:numPr>
          <w:ilvl w:val="0"/>
          <w:numId w:val="1004"/>
        </w:numPr>
      </w:pPr>
      <w:r>
        <w:t xml:space="preserve">Multi-season pre-registration that this extends:</w:t>
      </w:r>
      <w:r>
        <w:t xml:space="preserve"> </w:t>
      </w:r>
      <w:hyperlink r:id="rId9">
        <w:r>
          <w:rPr>
            <w:rStyle w:val="Hyperlink"/>
          </w:rPr>
          <w:t xml:space="preserve">audit_runs/probe_b_prime_coarse/PRE_REGISTRATION_multi_season.md</w:t>
        </w:r>
      </w:hyperlink>
    </w:p>
    <w:p>
      <w:pPr>
        <w:pStyle w:val="Compact"/>
        <w:numPr>
          <w:ilvl w:val="0"/>
          <w:numId w:val="1004"/>
        </w:numPr>
      </w:pPr>
      <w:r>
        <w:t xml:space="preserve">Section 5 of paper draft that incorporates this pre-registration:</w:t>
      </w:r>
      <w:r>
        <w:t xml:space="preserve"> </w:t>
      </w:r>
      <w:hyperlink r:id="rId21">
        <w:r>
          <w:rPr>
            <w:rStyle w:val="Hyperlink"/>
          </w:rPr>
          <w:t xml:space="preserve">paper_draft/section_5_empirical_validation.md</w:t>
        </w:r>
      </w:hyperlink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file:///D:/NBA%20Projections/audit_runs/probe_b_2627_pre_registration/" TargetMode="External" /><Relationship Type="http://schemas.openxmlformats.org/officeDocument/2006/relationships/hyperlink" Id="rId9" Target="file:///D:/NBA%20Projections/audit_runs/probe_b_prime_coarse/PRE_REGISTRATION_multi_season.md" TargetMode="External" /><Relationship Type="http://schemas.openxmlformats.org/officeDocument/2006/relationships/hyperlink" Id="rId21" Target="file:///D:/NBA%20Projections/paper_draft/section_5_empirical_valid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:///D:/NBA%20Projections/audit_runs/probe_b_2627_pre_registration/" TargetMode="External" /><Relationship Type="http://schemas.openxmlformats.org/officeDocument/2006/relationships/hyperlink" Id="rId9" Target="file:///D:/NBA%20Projections/audit_runs/probe_b_prime_coarse/PRE_REGISTRATION_multi_season.md" TargetMode="External" /><Relationship Type="http://schemas.openxmlformats.org/officeDocument/2006/relationships/hyperlink" Id="rId21" Target="file:///D:/NBA%20Projections/paper_draft/section_5_empirical_valid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2026-05-06T03:34:28Z</dcterms:created>
  <dcterms:modified xsi:type="dcterms:W3CDTF">2026-05-06T03:34:28Z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