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 Party Risk Management Policy</w:t>
      </w:r>
    </w:p>
    <w:p>
      <w:r>
        <w:rPr>
          <w:i/>
          <w:sz w:val="22"/>
        </w:rPr>
        <w:t>Rushing Technologies — ZenFinance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Company</w:t>
            </w:r>
          </w:p>
        </w:tc>
        <w:tc>
          <w:tcPr>
            <w:tcW w:type="dxa" w:w="4320"/>
          </w:tcPr>
          <w:p>
            <w:r>
              <w:t>Rushing Technologies</w:t>
            </w:r>
          </w:p>
        </w:tc>
      </w:tr>
      <w:tr>
        <w:tc>
          <w:tcPr>
            <w:tcW w:type="dxa" w:w="4320"/>
          </w:tcPr>
          <w:p>
            <w:r>
              <w:t>Product</w:t>
            </w:r>
          </w:p>
        </w:tc>
        <w:tc>
          <w:tcPr>
            <w:tcW w:type="dxa" w:w="4320"/>
          </w:tcPr>
          <w:p>
            <w:r>
              <w:t>ZenFinance (iOS application and API)</w:t>
            </w:r>
          </w:p>
        </w:tc>
      </w:tr>
      <w:tr>
        <w:tc>
          <w:tcPr>
            <w:tcW w:type="dxa" w:w="4320"/>
          </w:tcPr>
          <w:p>
            <w:r>
              <w:t>Policy owner</w:t>
            </w:r>
          </w:p>
        </w:tc>
        <w:tc>
          <w:tcPr>
            <w:tcW w:type="dxa" w:w="4320"/>
          </w:tcPr>
          <w:p>
            <w:r>
              <w:t>Nicholas Rushing, Founder</w:t>
            </w:r>
          </w:p>
        </w:tc>
      </w:tr>
      <w:tr>
        <w:tc>
          <w:tcPr>
            <w:tcW w:type="dxa" w:w="4320"/>
          </w:tcPr>
          <w:p>
            <w:r>
              <w:t>Security contact</w:t>
            </w:r>
          </w:p>
        </w:tc>
        <w:tc>
          <w:tcPr>
            <w:tcW w:type="dxa" w:w="4320"/>
          </w:tcPr>
          <w:p>
            <w:r>
              <w:t>support@rushingtechnologies.com (monitored)</w:t>
            </w:r>
          </w:p>
        </w:tc>
      </w:tr>
      <w:tr>
        <w:tc>
          <w:tcPr>
            <w:tcW w:type="dxa" w:w="4320"/>
          </w:tcPr>
          <w:p>
            <w:r>
              <w:t>Version</w:t>
            </w:r>
          </w:p>
        </w:tc>
        <w:tc>
          <w:tcPr>
            <w:tcW w:type="dxa" w:w="4320"/>
          </w:tcPr>
          <w:p>
            <w:r>
              <w:t>1.0</w:t>
            </w:r>
          </w:p>
        </w:tc>
      </w:tr>
      <w:tr>
        <w:tc>
          <w:tcPr>
            <w:tcW w:type="dxa" w:w="4320"/>
          </w:tcPr>
          <w:p>
            <w:r>
              <w:t>Adopted</w:t>
            </w:r>
          </w:p>
        </w:tc>
        <w:tc>
          <w:tcPr>
            <w:tcW w:type="dxa" w:w="4320"/>
          </w:tcPr>
          <w:p>
            <w:r>
              <w:t>2026-07-14</w:t>
            </w:r>
          </w:p>
        </w:tc>
      </w:tr>
      <w:tr>
        <w:tc>
          <w:tcPr>
            <w:tcW w:type="dxa" w:w="4320"/>
          </w:tcPr>
          <w:p>
            <w:r>
              <w:t>Next scheduled review</w:t>
            </w:r>
          </w:p>
        </w:tc>
        <w:tc>
          <w:tcPr>
            <w:tcW w:type="dxa" w:w="4320"/>
          </w:tcPr>
          <w:p>
            <w:r>
              <w:t>2027-01-14</w:t>
            </w:r>
          </w:p>
        </w:tc>
      </w:tr>
    </w:tbl>
    <w:p/>
    <w:p>
      <w:pPr>
        <w:pStyle w:val="Heading1"/>
      </w:pPr>
      <w:r>
        <w:t>1. Purpose and Scope</w:t>
      </w:r>
    </w:p>
    <w:p>
      <w:r>
        <w:rPr>
          <w:b w:val="0"/>
          <w:i w:val="0"/>
        </w:rPr>
        <w:t>This policy defines how Rushing Technologies identifies, assesses, approves, monitors, and offboards third-party vendors ("processors") that receive or process company or user data on behalf of ZenFinance, a personal-finance application consisting of an iOS client, a Node.js API, and supporting infrastructure. It implements the technical and administrative controls referenced in §16 of the ZenFinance Information Security Policy and is reviewed on the same cadence.</w:t>
      </w:r>
    </w:p>
    <w:p>
      <w:r>
        <w:rPr>
          <w:b w:val="0"/>
          <w:i w:val="0"/>
        </w:rPr>
        <w:t>Rushing Technologies is currently a single-member company. Where a control below presumes multiple people (e.g., segregation of vendor-approval duties), the requirement takes effect when the first additional person is granted access; the compensating control for the single-member case is stated in §7.</w:t>
      </w:r>
    </w:p>
    <w:p>
      <w:pPr>
        <w:pStyle w:val="Heading1"/>
      </w:pPr>
      <w:r>
        <w:t>2. Definitions</w:t>
      </w:r>
    </w:p>
    <w:p>
      <w:pPr>
        <w:pStyle w:val="ListBullet"/>
      </w:pPr>
      <w:r>
        <w:t>Vendor / Processor — a third-party service that receives company or user data, or that ZenFinance's production systems depend on, in the course of providing its function.</w:t>
      </w:r>
    </w:p>
    <w:p>
      <w:pPr>
        <w:pStyle w:val="ListBullet"/>
      </w:pPr>
      <w:r>
        <w:t>Data-processing vendor — a processor that receives user Confidential or Restricted data (as classified in the Information Security Policy §2), e.g. Plaid, RevenueCat, Anthropic, Sentry.</w:t>
      </w:r>
    </w:p>
    <w:p>
      <w:pPr>
        <w:pStyle w:val="ListBullet"/>
      </w:pPr>
      <w:r>
        <w:t>Infrastructure vendor — a processor that hosts, delivers, or operates company systems without receiving user financial data directly, e.g. Railway, Cloudflare, GitHub, Apple.</w:t>
      </w:r>
    </w:p>
    <w:p>
      <w:pPr>
        <w:pStyle w:val="Heading1"/>
      </w:pPr>
      <w:r>
        <w:t>3. Current Vendor Inventory</w:t>
      </w:r>
    </w:p>
    <w:p>
      <w:r>
        <w:rPr>
          <w:b w:val="0"/>
          <w:i w:val="0"/>
        </w:rPr>
        <w:t>This is the authoritative vendor list. It is kept in sync with the data-inventory mapping in docs/APP_STORE_PRIVACY.md; any discrepancy between the two is treated as a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Vendor</w:t>
            </w:r>
          </w:p>
        </w:tc>
        <w:tc>
          <w:tcPr>
            <w:tcW w:type="dxa" w:w="2160"/>
          </w:tcPr>
          <w:p>
            <w:r>
              <w:rPr>
                <w:b/>
              </w:rPr>
              <w:t>Category</w:t>
            </w:r>
          </w:p>
        </w:tc>
        <w:tc>
          <w:tcPr>
            <w:tcW w:type="dxa" w:w="2160"/>
          </w:tcPr>
          <w:p>
            <w:r>
              <w:rPr>
                <w:b/>
              </w:rPr>
              <w:t>Data shared</w:t>
            </w:r>
          </w:p>
        </w:tc>
        <w:tc>
          <w:tcPr>
            <w:tcW w:type="dxa" w:w="2160"/>
          </w:tcPr>
          <w:p>
            <w:r>
              <w:rPr>
                <w:b/>
              </w:rPr>
              <w:t>Purpose</w:t>
            </w:r>
          </w:p>
        </w:tc>
      </w:tr>
      <w:tr>
        <w:tc>
          <w:tcPr>
            <w:tcW w:type="dxa" w:w="2160"/>
          </w:tcPr>
          <w:p>
            <w:r>
              <w:t>Plaid</w:t>
            </w:r>
          </w:p>
        </w:tc>
        <w:tc>
          <w:tcPr>
            <w:tcW w:type="dxa" w:w="2160"/>
          </w:tcPr>
          <w:p>
            <w:r>
              <w:t>Data-processing</w:t>
            </w:r>
          </w:p>
        </w:tc>
        <w:tc>
          <w:tcPr>
            <w:tcW w:type="dxa" w:w="2160"/>
          </w:tcPr>
          <w:p>
            <w:r>
              <w:t>Institution account metadata and transactions, via a read-only linked item</w:t>
            </w:r>
          </w:p>
        </w:tc>
        <w:tc>
          <w:tcPr>
            <w:tcW w:type="dxa" w:w="2160"/>
          </w:tcPr>
          <w:p>
            <w:r>
              <w:t>Bank account connectivity and transaction sync</w:t>
            </w:r>
          </w:p>
        </w:tc>
      </w:tr>
      <w:tr>
        <w:tc>
          <w:tcPr>
            <w:tcW w:type="dxa" w:w="2160"/>
          </w:tcPr>
          <w:p>
            <w:r>
              <w:t>RevenueCat</w:t>
            </w:r>
          </w:p>
        </w:tc>
        <w:tc>
          <w:tcPr>
            <w:tcW w:type="dxa" w:w="2160"/>
          </w:tcPr>
          <w:p>
            <w:r>
              <w:t>Data-processing</w:t>
            </w:r>
          </w:p>
        </w:tc>
        <w:tc>
          <w:tcPr>
            <w:tcW w:type="dxa" w:w="2160"/>
          </w:tcPr>
          <w:p>
            <w:r>
              <w:t>App user id, subscription/entitlement state, non-subscription transaction id</w:t>
            </w:r>
          </w:p>
        </w:tc>
        <w:tc>
          <w:tcPr>
            <w:tcW w:type="dxa" w:w="2160"/>
          </w:tcPr>
          <w:p>
            <w:r>
              <w:t>App Store subscription entitlement and one-time purchase management</w:t>
            </w:r>
          </w:p>
        </w:tc>
      </w:tr>
      <w:tr>
        <w:tc>
          <w:tcPr>
            <w:tcW w:type="dxa" w:w="2160"/>
          </w:tcPr>
          <w:p>
            <w:r>
              <w:t>Anthropic</w:t>
            </w:r>
          </w:p>
        </w:tc>
        <w:tc>
          <w:tcPr>
            <w:tcW w:type="dxa" w:w="2160"/>
          </w:tcPr>
          <w:p>
            <w:r>
              <w:t>Data-processing</w:t>
            </w:r>
          </w:p>
        </w:tc>
        <w:tc>
          <w:tcPr>
            <w:tcW w:type="dxa" w:w="2160"/>
          </w:tcPr>
          <w:p>
            <w:r>
              <w:t>Compact coaching context and redacted transaction summaries — never raw access tokens or credentials</w:t>
            </w:r>
          </w:p>
        </w:tc>
        <w:tc>
          <w:tcPr>
            <w:tcW w:type="dxa" w:w="2160"/>
          </w:tcPr>
          <w:p>
            <w:r>
              <w:t>Transaction enrichment and coaching brief generation</w:t>
            </w:r>
          </w:p>
        </w:tc>
      </w:tr>
      <w:tr>
        <w:tc>
          <w:tcPr>
            <w:tcW w:type="dxa" w:w="2160"/>
          </w:tcPr>
          <w:p>
            <w:r>
              <w:t>Sentry</w:t>
            </w:r>
          </w:p>
        </w:tc>
        <w:tc>
          <w:tcPr>
            <w:tcW w:type="dxa" w:w="2160"/>
          </w:tcPr>
          <w:p>
            <w:r>
              <w:t>Data-processing</w:t>
            </w:r>
          </w:p>
        </w:tc>
        <w:tc>
          <w:tcPr>
            <w:tcW w:type="dxa" w:w="2160"/>
          </w:tcPr>
          <w:p>
            <w:r>
              <w:t>Crash/error diagnostics, scrubbed of PII before transmission (sendDefaultPii=false)</w:t>
            </w:r>
          </w:p>
        </w:tc>
        <w:tc>
          <w:tcPr>
            <w:tcW w:type="dxa" w:w="2160"/>
          </w:tcPr>
          <w:p>
            <w:r>
              <w:t>Runtime error monitoring and triage</w:t>
            </w:r>
          </w:p>
        </w:tc>
      </w:tr>
      <w:tr>
        <w:tc>
          <w:tcPr>
            <w:tcW w:type="dxa" w:w="2160"/>
          </w:tcPr>
          <w:p>
            <w:r>
              <w:t>Expo / APNs</w:t>
            </w:r>
          </w:p>
        </w:tc>
        <w:tc>
          <w:tcPr>
            <w:tcW w:type="dxa" w:w="2160"/>
          </w:tcPr>
          <w:p>
            <w:r>
              <w:t>Data-processing</w:t>
            </w:r>
          </w:p>
        </w:tc>
        <w:tc>
          <w:tcPr>
            <w:tcW w:type="dxa" w:w="2160"/>
          </w:tcPr>
          <w:p>
            <w:r>
              <w:t>Push token and notification delivery metadata</w:t>
            </w:r>
          </w:p>
        </w:tc>
        <w:tc>
          <w:tcPr>
            <w:tcW w:type="dxa" w:w="2160"/>
          </w:tcPr>
          <w:p>
            <w:r>
              <w:t>Push notification delivery (weekly briefs, anomalies, goal pacing)</w:t>
            </w:r>
          </w:p>
        </w:tc>
      </w:tr>
      <w:tr>
        <w:tc>
          <w:tcPr>
            <w:tcW w:type="dxa" w:w="2160"/>
          </w:tcPr>
          <w:p>
            <w:r>
              <w:t>Resend</w:t>
            </w:r>
          </w:p>
        </w:tc>
        <w:tc>
          <w:tcPr>
            <w:tcW w:type="dxa" w:w="2160"/>
          </w:tcPr>
          <w:p>
            <w:r>
              <w:t>Data-processing</w:t>
            </w:r>
          </w:p>
        </w:tc>
        <w:tc>
          <w:tcPr>
            <w:tcW w:type="dxa" w:w="2160"/>
          </w:tcPr>
          <w:p>
            <w:r>
              <w:t>Support ticket email content</w:t>
            </w:r>
          </w:p>
        </w:tc>
        <w:tc>
          <w:tcPr>
            <w:tcW w:type="dxa" w:w="2160"/>
          </w:tcPr>
          <w:p>
            <w:r>
              <w:t>Forwarding support requests to support@rushingtechnologies.com</w:t>
            </w:r>
          </w:p>
        </w:tc>
      </w:tr>
      <w:tr>
        <w:tc>
          <w:tcPr>
            <w:tcW w:type="dxa" w:w="2160"/>
          </w:tcPr>
          <w:p>
            <w:r>
              <w:t>Railway</w:t>
            </w:r>
          </w:p>
        </w:tc>
        <w:tc>
          <w:tcPr>
            <w:tcW w:type="dxa" w:w="2160"/>
          </w:tcPr>
          <w:p>
            <w:r>
              <w:t>Infrastructure</w:t>
            </w:r>
          </w:p>
        </w:tc>
        <w:tc>
          <w:tcPr>
            <w:tcW w:type="dxa" w:w="2160"/>
          </w:tcPr>
          <w:p>
            <w:r>
              <w:t>Hosts the API, database, and background queue</w:t>
            </w:r>
          </w:p>
        </w:tc>
        <w:tc>
          <w:tcPr>
            <w:tcW w:type="dxa" w:w="2160"/>
          </w:tcPr>
          <w:p>
            <w:r>
              <w:t>Production compute, managed Postgres, TLS termination</w:t>
            </w:r>
          </w:p>
        </w:tc>
      </w:tr>
      <w:tr>
        <w:tc>
          <w:tcPr>
            <w:tcW w:type="dxa" w:w="2160"/>
          </w:tcPr>
          <w:p>
            <w:r>
              <w:t>Cloudflare</w:t>
            </w:r>
          </w:p>
        </w:tc>
        <w:tc>
          <w:tcPr>
            <w:tcW w:type="dxa" w:w="2160"/>
          </w:tcPr>
          <w:p>
            <w:r>
              <w:t>Infrastructure</w:t>
            </w:r>
          </w:p>
        </w:tc>
        <w:tc>
          <w:tcPr>
            <w:tcW w:type="dxa" w:w="2160"/>
          </w:tcPr>
          <w:p>
            <w:r>
              <w:t>Hosts the marketing site and admin console as static Workers</w:t>
            </w:r>
          </w:p>
        </w:tc>
        <w:tc>
          <w:tcPr>
            <w:tcW w:type="dxa" w:w="2160"/>
          </w:tcPr>
          <w:p>
            <w:r>
              <w:t>Static hosting, DNS</w:t>
            </w:r>
          </w:p>
        </w:tc>
      </w:tr>
      <w:tr>
        <w:tc>
          <w:tcPr>
            <w:tcW w:type="dxa" w:w="2160"/>
          </w:tcPr>
          <w:p>
            <w:r>
              <w:t>GitHub</w:t>
            </w:r>
          </w:p>
        </w:tc>
        <w:tc>
          <w:tcPr>
            <w:tcW w:type="dxa" w:w="2160"/>
          </w:tcPr>
          <w:p>
            <w:r>
              <w:t>Infrastructure</w:t>
            </w:r>
          </w:p>
        </w:tc>
        <w:tc>
          <w:tcPr>
            <w:tcW w:type="dxa" w:w="2160"/>
          </w:tcPr>
          <w:p>
            <w:r>
              <w:t>Source code and CI/CD pipeline</w:t>
            </w:r>
          </w:p>
        </w:tc>
        <w:tc>
          <w:tcPr>
            <w:tcW w:type="dxa" w:w="2160"/>
          </w:tcPr>
          <w:p>
            <w:r>
              <w:t>Version control, code review, automated testing and security scanning</w:t>
            </w:r>
          </w:p>
        </w:tc>
      </w:tr>
      <w:tr>
        <w:tc>
          <w:tcPr>
            <w:tcW w:type="dxa" w:w="2160"/>
          </w:tcPr>
          <w:p>
            <w:r>
              <w:t>Apple</w:t>
            </w:r>
          </w:p>
        </w:tc>
        <w:tc>
          <w:tcPr>
            <w:tcW w:type="dxa" w:w="2160"/>
          </w:tcPr>
          <w:p>
            <w:r>
              <w:t>Infrastructure</w:t>
            </w:r>
          </w:p>
        </w:tc>
        <w:tc>
          <w:tcPr>
            <w:tcW w:type="dxa" w:w="2160"/>
          </w:tcPr>
          <w:p>
            <w:r>
              <w:t>App distribution, sign-in, App Store subscription billing rails</w:t>
            </w:r>
          </w:p>
        </w:tc>
        <w:tc>
          <w:tcPr>
            <w:tcW w:type="dxa" w:w="2160"/>
          </w:tcPr>
          <w:p>
            <w:r>
              <w:t>iOS app distribution and platform services</w:t>
            </w:r>
          </w:p>
        </w:tc>
      </w:tr>
    </w:tbl>
    <w:p/>
    <w:p>
      <w:pPr>
        <w:pStyle w:val="Heading1"/>
      </w:pPr>
      <w:r>
        <w:t>4. Vendor Risk Assessment and Onboarding</w:t>
      </w:r>
    </w:p>
    <w:p>
      <w:r>
        <w:rPr>
          <w:b w:val="0"/>
          <w:i w:val="0"/>
        </w:rPr>
        <w:t>Before a new vendor is adopted, or an existing vendor's role is materially expanded, the Founder MUST:</w:t>
      </w:r>
    </w:p>
    <w:p>
      <w:pPr>
        <w:pStyle w:val="ListNumber"/>
      </w:pPr>
      <w:r>
        <w:t>Confirm the vendor is the minimum necessary integration for the intended function, and identify exactly which data category (Restricted, Confidential, Internal, or Public, per the Information Security Policy §2) will be shared.</w:t>
      </w:r>
    </w:p>
    <w:p>
      <w:pPr>
        <w:pStyle w:val="ListNumber"/>
      </w:pPr>
      <w:r>
        <w:t>Prefer vendors with a published security program and independent attestation (e.g., SOC 2 or equivalent). Every current data-processing vendor — Plaid, RevenueCat's billing infrastructure, Sentry — and the infrastructure vendors Railway, Cloudflare, and GitHub publish SOC 2 and/or an equivalent program.</w:t>
      </w:r>
    </w:p>
    <w:p>
      <w:pPr>
        <w:pStyle w:val="ListNumber"/>
      </w:pPr>
      <w:r>
        <w:t>Treat the addition as an architectural change: update the data inventory (docs/APP_STORE_PRIVACY.md), this vendor inventory (§3), the Information Security Policy, and, where user-visible, the public privacy disclosure — all before the integration reaches production.</w:t>
      </w:r>
    </w:p>
    <w:p>
      <w:pPr>
        <w:pStyle w:val="ListNumber"/>
      </w:pPr>
      <w:r>
        <w:t>Confirm the vendor's terms support the data-subject rights ZenFinance commits to (export, deletion, correction) for any data it holds on ZenFinance's behalf.</w:t>
      </w:r>
    </w:p>
    <w:p>
      <w:pPr>
        <w:pStyle w:val="Heading1"/>
      </w:pPr>
      <w:r>
        <w:t>5. Technical and Administrative Controls</w:t>
      </w:r>
    </w:p>
    <w:p>
      <w:r>
        <w:rPr>
          <w:b w:val="0"/>
          <w:i w:val="0"/>
        </w:rPr>
        <w:t>The following controls are enforced on every data-processing vendor relationship, in code and in operational practice:</w:t>
      </w:r>
    </w:p>
    <w:p>
      <w:pPr>
        <w:pStyle w:val="Heading1"/>
      </w:pPr>
      <w:r>
        <w:t>5.1 Technical controls</w:t>
      </w:r>
    </w:p>
    <w:p>
      <w:pPr>
        <w:pStyle w:val="ListBullet"/>
      </w:pPr>
      <w:r>
        <w:t>All vendor traffic is encrypted in transit (TLS); the iOS app enforces App Transport Security with no arbitrary-loads exceptions.</w:t>
      </w:r>
    </w:p>
    <w:p>
      <w:pPr>
        <w:pStyle w:val="ListBullet"/>
      </w:pPr>
      <w:r>
        <w:t>Inbound webhooks from vendors are cryptographically verified in production before processing: Plaid webhooks are verified as ES256 JWTs with key-ID resolution against Plaid's JWKS, a 300-second issued-at freshness window, and a SHA-256 hash comparison of the raw request body; RevenueCat webhooks require both a shared-secret Authorization header and a valid HMAC signature.</w:t>
      </w:r>
    </w:p>
    <w:p>
      <w:pPr>
        <w:pStyle w:val="ListBullet"/>
      </w:pPr>
      <w:r>
        <w:t>Bank provider access tokens (the highest-sensitivity credential shared with any vendor) are encrypted at the application layer with AES-256-GCM under a dedicated key before storage, in addition to the hosting provider's encryption at rest.</w:t>
      </w:r>
    </w:p>
    <w:p>
      <w:pPr>
        <w:pStyle w:val="ListBullet"/>
      </w:pPr>
      <w:r>
        <w:t>Each vendor receives only the minimum data necessary for its function — enforced at the integration layer (e.g., Anthropic receives compact, redacted summaries, never raw transactions or credentials; Sentry events pass through recursive scrubbing of token-, secret-, credential-, cookie-, authorization-, and email-like keys before send, with sendDefaultPii disabled).</w:t>
      </w:r>
    </w:p>
    <w:p>
      <w:pPr>
        <w:pStyle w:val="ListBullet"/>
      </w:pPr>
      <w:r>
        <w:t>Vendor integration failures are logged with log-safe summaries that exclude outgoing request configuration and authorization headers, so failures are diagnosable without exposing Restricted data to logs or telemetry.</w:t>
      </w:r>
    </w:p>
    <w:p>
      <w:pPr>
        <w:pStyle w:val="Heading1"/>
      </w:pPr>
      <w:r>
        <w:t>5.2 Administrative controls</w:t>
      </w:r>
    </w:p>
    <w:p>
      <w:pPr>
        <w:pStyle w:val="ListBullet"/>
      </w:pPr>
      <w:r>
        <w:t>Access to every vendor dashboard (Plaid, RevenueCat, Sentry, Anthropic, Resend, Railway, Cloudflare, GitHub, Apple/Expo) is limited to the Founder. Multi-factor authentication MUST be enabled on every such account where the provider supports it.</w:t>
      </w:r>
    </w:p>
    <w:p>
      <w:pPr>
        <w:pStyle w:val="ListBullet"/>
      </w:pPr>
      <w:r>
        <w:t>No vendor credential is shared across purposes; every vendor login is individually attributable.</w:t>
      </w:r>
    </w:p>
    <w:p>
      <w:pPr>
        <w:pStyle w:val="ListBullet"/>
      </w:pPr>
      <w:r>
        <w:t>Vendor-facing API keys and secrets are stored exclusively in platform environment configuration (Railway) and MUST NOT be committed to the repository.</w:t>
      </w:r>
    </w:p>
    <w:p>
      <w:pPr>
        <w:pStyle w:val="Heading1"/>
      </w:pPr>
      <w:r>
        <w:t>6. Ongoing Monitoring</w:t>
      </w:r>
    </w:p>
    <w:p>
      <w:pPr>
        <w:pStyle w:val="ListBullet"/>
      </w:pPr>
      <w:r>
        <w:t>Vendor security notices and status pages are monitored by the Founder as part of the monthly dependency and vulnerability review.</w:t>
      </w:r>
    </w:p>
    <w:p>
      <w:pPr>
        <w:pStyle w:val="ListBullet"/>
      </w:pPr>
      <w:r>
        <w:t>Runtime integration health with each vendor is monitored via Sentry error tracking and, for Plaid specifically, item-level webhook state transitions (login_required, disconnected) that are recorded as they occur.</w:t>
      </w:r>
    </w:p>
    <w:p>
      <w:pPr>
        <w:pStyle w:val="ListBullet"/>
      </w:pPr>
      <w:r>
        <w:t>Vendor-caused degraded-mode behavior (Plaid webhook outage, LLM provider failure, billing webhook failure) is defined and exercised in docs/FAILURE_DRILLS.md, with automated tests validating the fallback behavior — no user-facing request path hard-depends on the Anthropic integration except premium chat, and coaching brief generation falls back to a deterministic template if it is unavailable.</w:t>
      </w:r>
    </w:p>
    <w:p>
      <w:pPr>
        <w:pStyle w:val="ListBullet"/>
      </w:pPr>
      <w:r>
        <w:t>This policy, and the vendor inventory in §3, are re-reviewed at least every six months and immediately upon any material change to a vendor relationship, in line with the Information Security Policy's review cadence.</w:t>
      </w:r>
    </w:p>
    <w:p>
      <w:pPr>
        <w:pStyle w:val="Heading1"/>
      </w:pPr>
      <w:r>
        <w:t>7. Roles, Responsibilities, and Single-Member Compensating Control</w:t>
      </w:r>
    </w:p>
    <w:p>
      <w:r>
        <w:rPr>
          <w:b w:val="0"/>
          <w:i w:val="0"/>
        </w:rPr>
        <w:t>The Founder is the accountable owner of the vendor risk management program: selecting vendors, performing the assessment in §4, maintaining the vendor inventory, and reviewing vendor security posture on the cadence in §6. Rushing Technologies is currently a single-member company, so there is no independent second approver for vendor onboarding; the compensating control is that every vendor decision, and every material change to a vendor relationship, is recorded in this document's version history (§9) and in the pull request that updates the corresponding data inventory and disclosure files, providing a durable, dated record of the decision even without a second reviewer. Should a second person be engaged, vendor approval authority will be split from vendor-facing engineering work.</w:t>
      </w:r>
    </w:p>
    <w:p>
      <w:pPr>
        <w:pStyle w:val="Heading1"/>
      </w:pPr>
      <w:r>
        <w:t>8. Incident Response and Vendor Breach Notification</w:t>
      </w:r>
    </w:p>
    <w:p>
      <w:r>
        <w:rPr>
          <w:b w:val="0"/>
          <w:i w:val="0"/>
        </w:rPr>
        <w:t>Vendor-related security events are handled under the Information Security Policy's incident response procedure (severity levels SEV-1 through SEV-3, triage within 24 hours of detection, SEV-1 containment within 24 hours of confirmation). Specific to vendors:</w:t>
      </w:r>
    </w:p>
    <w:p>
      <w:pPr>
        <w:pStyle w:val="ListBullet"/>
      </w:pPr>
      <w:r>
        <w:t>If a vendor notifies Rushing Technologies of a breach or vulnerability affecting shared data, the event is triaged and, where it meets the SEV-1 or SEV-2 threshold, follows the standard containment, eradication, and notification procedure — including notifying affected users without undue delay where required by law.</w:t>
      </w:r>
    </w:p>
    <w:p>
      <w:pPr>
        <w:pStyle w:val="ListBullet"/>
      </w:pPr>
      <w:r>
        <w:t>If Rushing Technologies identifies an incident on its own side that implicates a vendor's data or integration (for example, a compromised credential capable of calling a vendor's API), the vendor is notified per that vendor's own incident-reporting channel as part of the standard incident procedure's notification step.</w:t>
      </w:r>
    </w:p>
    <w:p>
      <w:pPr>
        <w:pStyle w:val="ListBullet"/>
      </w:pPr>
      <w:r>
        <w:t>All vendor-related incidents, remediations, and any accepted residual risk are recorded in docs/SECURITY_AUDIT.md, which serves as the risk register for both internal and vendor-related findings.</w:t>
      </w:r>
    </w:p>
    <w:p>
      <w:pPr>
        <w:pStyle w:val="Heading1"/>
      </w:pPr>
      <w:r>
        <w:t>9. Vendor Offboarding</w:t>
      </w:r>
    </w:p>
    <w:p>
      <w:r>
        <w:rPr>
          <w:b w:val="0"/>
          <w:i w:val="0"/>
        </w:rPr>
        <w:t>When a vendor relationship ends or is replaced, the Founder MUST: revoke API credentials and dashboard access for that vendor; confirm any data held by the vendor is deleted or returned per its terms and Rushing Technologies' data retention commitments; and remove the vendor from the inventory in §3 and the corresponding entries in docs/APP_STORE_PRIVACY.md and the Information Security Policy, treating the removal as an architectural change under §4.</w:t>
      </w:r>
    </w:p>
    <w:p>
      <w:pPr>
        <w:pStyle w:val="Heading1"/>
      </w:pPr>
      <w:r>
        <w:t>10. Compliance Basis</w:t>
      </w:r>
    </w:p>
    <w:p>
      <w:r>
        <w:rPr>
          <w:b w:val="0"/>
          <w:i w:val="0"/>
        </w:rPr>
        <w:t>This program is designed to satisfy the vendor/third-party risk management expectations of the processors ZenFinance integrates with — including Plaid's information-security requirements for production access — and applicable U.S. state data-privacy and breach-notification laws. Rushing Technologies does not currently claim a formal certification (e.g., SOC 2, ISO 27001); internal assessments are documented in docs/SECURITY_AUDIT.md.</w:t>
      </w:r>
    </w:p>
    <w:p>
      <w:pPr>
        <w:pStyle w:val="Heading1"/>
      </w:pPr>
      <w:r>
        <w:t>11. Document Control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Change</w:t>
            </w:r>
          </w:p>
        </w:tc>
      </w:tr>
      <w:tr>
        <w:tc>
          <w:tcPr>
            <w:tcW w:type="dxa" w:w="2880"/>
          </w:tcPr>
          <w:p>
            <w:r>
              <w:t>1.0</w:t>
            </w:r>
          </w:p>
        </w:tc>
        <w:tc>
          <w:tcPr>
            <w:tcW w:type="dxa" w:w="2880"/>
          </w:tcPr>
          <w:p>
            <w:r>
              <w:t>2026-07-14</w:t>
            </w:r>
          </w:p>
        </w:tc>
        <w:tc>
          <w:tcPr>
            <w:tcW w:type="dxa" w:w="2880"/>
          </w:tcPr>
          <w:p>
            <w:r>
              <w:t>Initial adoption: vendor risk management program implementing Information Security Policy §16.</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