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Deletion and Retention Policy</w:t>
      </w:r>
    </w:p>
    <w:p>
      <w:r>
        <w:rPr>
          <w:i/>
          <w:sz w:val="22"/>
        </w:rPr>
        <w:t>ZenFinance — Rushing Technologies</w:t>
        <w:br/>
        <w:t>Last reviewed: July 14, 2026    |    Owner: Engineering / Privacy    |    Applies to: ZenFinance API and linked data processors</w:t>
      </w:r>
    </w:p>
    <w:p/>
    <w:p>
      <w:pPr>
        <w:pStyle w:val="Heading1"/>
      </w:pPr>
      <w:r>
        <w:t>1. Purpose and Scope</w:t>
      </w:r>
    </w:p>
    <w:p>
      <w:r>
        <w:rPr>
          <w:b w:val="0"/>
          <w:i w:val="0"/>
        </w:rPr>
        <w:t>This policy describes what user data ZenFinance retains, for how long, and the mechanisms by which a user can delete their data or a single bank connection. It is written in compliance with applicable U.S. state and federal consumer data privacy laws (including CCPA/CPRA-style access, deletion, and correction rights) and is reviewed periodically alongside the ZenFinance Security Audit and App Store privacy disclosures.</w:t>
      </w:r>
    </w:p>
    <w:p>
      <w:pPr>
        <w:pStyle w:val="Heading1"/>
      </w:pPr>
      <w:r>
        <w:t>2. Data We Retain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Retained until</w:t>
            </w:r>
          </w:p>
        </w:tc>
      </w:tr>
      <w:tr>
        <w:tc>
          <w:tcPr>
            <w:tcW w:type="dxa" w:w="2880"/>
          </w:tcPr>
          <w:p>
            <w:r>
              <w:t>Account &amp; auth</w:t>
            </w:r>
          </w:p>
        </w:tc>
        <w:tc>
          <w:tcPr>
            <w:tcW w:type="dxa" w:w="2880"/>
          </w:tcPr>
          <w:p>
            <w:r>
              <w:t>Email (hashed for audit purposes on deletion), password hash, Apple sign-in link</w:t>
            </w:r>
          </w:p>
        </w:tc>
        <w:tc>
          <w:tcPr>
            <w:tcW w:type="dxa" w:w="2880"/>
          </w:tcPr>
          <w:p>
            <w:r>
              <w:t>Account deletion</w:t>
            </w:r>
          </w:p>
        </w:tc>
      </w:tr>
      <w:tr>
        <w:tc>
          <w:tcPr>
            <w:tcW w:type="dxa" w:w="2880"/>
          </w:tcPr>
          <w:p>
            <w:r>
              <w:t>Linked bank data</w:t>
            </w:r>
          </w:p>
        </w:tc>
        <w:tc>
          <w:tcPr>
            <w:tcW w:type="dxa" w:w="2880"/>
          </w:tcPr>
          <w:p>
            <w:r>
              <w:t>Plaid account metadata, balances, transactions, recurring streams</w:t>
            </w:r>
          </w:p>
        </w:tc>
        <w:tc>
          <w:tcPr>
            <w:tcW w:type="dxa" w:w="2880"/>
          </w:tcPr>
          <w:p>
            <w:r>
              <w:t>Item disconnect or account deletion</w:t>
            </w:r>
          </w:p>
        </w:tc>
      </w:tr>
      <w:tr>
        <w:tc>
          <w:tcPr>
            <w:tcW w:type="dxa" w:w="2880"/>
          </w:tcPr>
          <w:p>
            <w:r>
              <w:t>Financial goals &amp; coaching</w:t>
            </w:r>
          </w:p>
        </w:tc>
        <w:tc>
          <w:tcPr>
            <w:tcW w:type="dxa" w:w="2880"/>
          </w:tcPr>
          <w:p>
            <w:r>
              <w:t>Goals, insights, anomalies, Zen Score, chat messages, category corrections</w:t>
            </w:r>
          </w:p>
        </w:tc>
        <w:tc>
          <w:tcPr>
            <w:tcW w:type="dxa" w:w="2880"/>
          </w:tcPr>
          <w:p>
            <w:r>
              <w:t>Account deletion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Subscription entitlement/product state, non-subscription transaction id (RevenueCat)</w:t>
            </w:r>
          </w:p>
        </w:tc>
        <w:tc>
          <w:tcPr>
            <w:tcW w:type="dxa" w:w="2880"/>
          </w:tcPr>
          <w:p>
            <w:r>
              <w:t>Account deletion</w:t>
            </w:r>
          </w:p>
        </w:tc>
      </w:tr>
      <w:tr>
        <w:tc>
          <w:tcPr>
            <w:tcW w:type="dxa" w:w="2880"/>
          </w:tcPr>
          <w:p>
            <w:r>
              <w:t>Product analytics</w:t>
            </w:r>
          </w:p>
        </w:tc>
        <w:tc>
          <w:tcPr>
            <w:tcW w:type="dxa" w:w="2880"/>
          </w:tcPr>
          <w:p>
            <w:r>
              <w:t>First-party app events (registration, linking, paywall, referral, etc.)</w:t>
            </w:r>
          </w:p>
        </w:tc>
        <w:tc>
          <w:tcPr>
            <w:tcW w:type="dxa" w:w="2880"/>
          </w:tcPr>
          <w:p>
            <w:r>
              <w:t>Account deletion (explicitly purged, not just cascaded)</w:t>
            </w:r>
          </w:p>
        </w:tc>
      </w:tr>
      <w:tr>
        <w:tc>
          <w:tcPr>
            <w:tcW w:type="dxa" w:w="2880"/>
          </w:tcPr>
          <w:p>
            <w:r>
              <w:t>Diagnostics</w:t>
            </w:r>
          </w:p>
        </w:tc>
        <w:tc>
          <w:tcPr>
            <w:tcW w:type="dxa" w:w="2880"/>
          </w:tcPr>
          <w:p>
            <w:r>
              <w:t>Sentry crash/error events, scrubbed of PII before transmission</w:t>
            </w:r>
          </w:p>
        </w:tc>
        <w:tc>
          <w:tcPr>
            <w:tcW w:type="dxa" w:w="2880"/>
          </w:tcPr>
          <w:p>
            <w:r>
              <w:t>Governed by Sentry's platform retention</w:t>
            </w:r>
          </w:p>
        </w:tc>
      </w:tr>
      <w:tr>
        <w:tc>
          <w:tcPr>
            <w:tcW w:type="dxa" w:w="2880"/>
          </w:tcPr>
          <w:p>
            <w:r>
              <w:t>Household / referral data</w:t>
            </w:r>
          </w:p>
        </w:tc>
        <w:tc>
          <w:tcPr>
            <w:tcW w:type="dxa" w:w="2880"/>
          </w:tcPr>
          <w:p>
            <w:r>
              <w:t>Shared goals, contributions, referral codes and redemptions</w:t>
            </w:r>
          </w:p>
        </w:tc>
        <w:tc>
          <w:tcPr>
            <w:tcW w:type="dxa" w:w="2880"/>
          </w:tcPr>
          <w:p>
            <w:r>
              <w:t>Account deletion (shared-goal history may retain a null author reference for remaining household members)</w:t>
            </w:r>
          </w:p>
        </w:tc>
      </w:tr>
    </w:tbl>
    <w:p/>
    <w:p>
      <w:pPr>
        <w:pStyle w:val="Heading1"/>
      </w:pPr>
      <w:r>
        <w:t>3. User-Initiated Deletion</w:t>
      </w:r>
    </w:p>
    <w:p>
      <w:pPr>
        <w:pStyle w:val="Heading2"/>
      </w:pPr>
      <w:r>
        <w:t>3.1 Full account deletion</w:t>
      </w:r>
    </w:p>
    <w:p>
      <w:r>
        <w:rPr>
          <w:b w:val="0"/>
          <w:i w:val="0"/>
        </w:rPr>
        <w:t>A user may delete their account from Settings, or by calling DELETE /api/me. This triggers the following sequence, executed as a single database transaction:</w:t>
      </w:r>
    </w:p>
    <w:p>
      <w:pPr>
        <w:pStyle w:val="ListNumber"/>
      </w:pPr>
      <w:r>
        <w:t>The Service attempts to revoke every one of the user's linked bank connections at the processor (Plaid itemRemove) before touching local data.</w:t>
      </w:r>
    </w:p>
    <w:p>
      <w:pPr>
        <w:pStyle w:val="ListNumber"/>
      </w:pPr>
      <w:r>
        <w:t>If a provider revocation fails (e.g., the processor is temporarily unreachable), the deletion is not blocked. Deletion is a user right that cannot be held hostage by a third party's availability. Instead, the failed revocation is queued as a durable retry job with exponential backoff (see the companion Logging and Monitoring Policy, §5).</w:t>
      </w:r>
    </w:p>
    <w:p>
      <w:pPr>
        <w:pStyle w:val="ListNumber"/>
      </w:pPr>
      <w:r>
        <w:t>An immutable, non-PII audit record is written recording: number of linked items, count of failed processor revocations, a per-processor deletion-status snapshot, and a completion timestamp. The user's email is stored in this record only as a one-way hash, never in plaintext.</w:t>
      </w:r>
    </w:p>
    <w:p>
      <w:pPr>
        <w:pStyle w:val="ListNumber"/>
      </w:pPr>
      <w:r>
        <w:t>Identifiable rows (first-party app events, billing events) are explicitly deleted rather than relying solely on cascade.</w:t>
      </w:r>
    </w:p>
    <w:p>
      <w:pPr>
        <w:pStyle w:val="ListNumber"/>
      </w:pPr>
      <w:r>
        <w:t>The user row itself is deleted, which cascades — via foreign-key ON DELETE CASCADE — to every dependent table: linked items, accounts, transactions, goals, insights, anomalies, chat history, voice briefs, Money Physical reports, referral records, notification preferences, and Freelancer Mode settings.</w:t>
      </w:r>
    </w:p>
    <w:p>
      <w:pPr>
        <w:pStyle w:val="Heading2"/>
      </w:pPr>
      <w:r>
        <w:t>3.2 Partial deletion — disconnecting a single bank connection</w:t>
      </w:r>
    </w:p>
    <w:p>
      <w:r>
        <w:rPr>
          <w:b w:val="0"/>
          <w:i w:val="0"/>
        </w:rPr>
        <w:t>A user may disconnect one linked bank without deleting their account, from Settings or DELETE /api/items/:id. This revokes that item at the processor and immediately deletes the item's accounts and transactions; a revocation failure at the processor is logged but does not block the local disconnect.</w:t>
      </w:r>
    </w:p>
    <w:p>
      <w:pPr>
        <w:pStyle w:val="Heading2"/>
      </w:pPr>
      <w:r>
        <w:t>3.3 Data export</w:t>
      </w:r>
    </w:p>
    <w:p>
      <w:r>
        <w:rPr>
          <w:b w:val="0"/>
          <w:i w:val="0"/>
        </w:rPr>
        <w:t>Before deleting, a user may export a full copy of their data via Settings or GET /api/me/export, covering linked items, transactions, goals, insights, billing history, household data, voice briefs, Money Physical reports, and supplemental analytics/event records tied to their account.</w:t>
      </w:r>
    </w:p>
    <w:p>
      <w:pPr>
        <w:pStyle w:val="Heading1"/>
      </w:pPr>
      <w:r>
        <w:t>4. Backups</w:t>
      </w:r>
    </w:p>
    <w:p>
      <w:r>
        <w:rPr>
          <w:b w:val="0"/>
          <w:i w:val="0"/>
        </w:rPr>
        <w:t>Underlying database backups are retained on a rolling basis and expire within 30 days. A deleted user's data may therefore persist in backup media for up to 30 days after deletion before being fully purged, consistent with the deletion event's own recorded backups status.</w:t>
      </w:r>
    </w:p>
    <w:p>
      <w:pPr>
        <w:pStyle w:val="Heading1"/>
      </w:pPr>
      <w:r>
        <w:t>5. Third-Party Processor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shared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Deletion / retention behavior</w:t>
            </w:r>
          </w:p>
        </w:tc>
      </w:tr>
      <w:tr>
        <w:tc>
          <w:tcPr>
            <w:tcW w:type="dxa" w:w="2880"/>
          </w:tcPr>
          <w:p>
            <w:r>
              <w:t>Plaid</w:t>
            </w:r>
          </w:p>
        </w:tc>
        <w:tc>
          <w:tcPr>
            <w:tcW w:type="dxa" w:w="2880"/>
          </w:tcPr>
          <w:p>
            <w:r>
              <w:t>Institution account metadata and transactions via the linked item</w:t>
            </w:r>
          </w:p>
        </w:tc>
        <w:tc>
          <w:tcPr>
            <w:tcW w:type="dxa" w:w="2880"/>
          </w:tcPr>
          <w:p>
            <w:r>
              <w:t>Access revoked (itemRemove) at deletion or disconnect; failed revocations retried with backoff until they succeed.</w:t>
            </w:r>
          </w:p>
        </w:tc>
      </w:tr>
      <w:tr>
        <w:tc>
          <w:tcPr>
            <w:tcW w:type="dxa" w:w="2880"/>
          </w:tcPr>
          <w:p>
            <w:r>
              <w:t>RevenueCat</w:t>
            </w:r>
          </w:p>
        </w:tc>
        <w:tc>
          <w:tcPr>
            <w:tcW w:type="dxa" w:w="2880"/>
          </w:tcPr>
          <w:p>
            <w:r>
              <w:t>App user id, subscription/entitlement state, non-subscription transaction id</w:t>
            </w:r>
          </w:p>
        </w:tc>
        <w:tc>
          <w:tcPr>
            <w:tcW w:type="dxa" w:w="2880"/>
          </w:tcPr>
          <w:p>
            <w:r>
              <w:t>Subscription/store records follow RevenueCat's own retention; ZenFinance stores only entitlement status locally, deleted with the account.</w:t>
            </w:r>
          </w:p>
        </w:tc>
      </w:tr>
      <w:tr>
        <w:tc>
          <w:tcPr>
            <w:tcW w:type="dxa" w:w="2880"/>
          </w:tcPr>
          <w:p>
            <w:r>
              <w:t>Anthropic (model provider)</w:t>
            </w:r>
          </w:p>
        </w:tc>
        <w:tc>
          <w:tcPr>
            <w:tcW w:type="dxa" w:w="2880"/>
          </w:tcPr>
          <w:p>
            <w:r>
              <w:t>Compact coaching context and redacted transaction summaries</w:t>
            </w:r>
          </w:p>
        </w:tc>
        <w:tc>
          <w:tcPr>
            <w:tcW w:type="dxa" w:w="2880"/>
          </w:tcPr>
          <w:p>
            <w:r>
              <w:t>No raw transaction exports are stored by the model provider; ZenFinance does not send raw access tokens or credentials.</w:t>
            </w:r>
          </w:p>
        </w:tc>
      </w:tr>
      <w:tr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Crash/error diagnostics, scrubbed of PII before send (sendDefaultPii=false)</w:t>
            </w:r>
          </w:p>
        </w:tc>
        <w:tc>
          <w:tcPr>
            <w:tcW w:type="dxa" w:w="2880"/>
          </w:tcPr>
          <w:p>
            <w:r>
              <w:t>Governed by Sentry's platform-level retention; no raw email, token, or password is ever transmitted.</w:t>
            </w:r>
          </w:p>
        </w:tc>
      </w:tr>
      <w:tr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Support ticket email content</w:t>
            </w:r>
          </w:p>
        </w:tc>
        <w:tc>
          <w:tcPr>
            <w:tcW w:type="dxa" w:w="2880"/>
          </w:tcPr>
          <w:p>
            <w:r>
              <w:t>Used only to forward support requests to support@rushingtechnologies.com.</w:t>
            </w:r>
          </w:p>
        </w:tc>
      </w:tr>
    </w:tbl>
    <w:p/>
    <w:p>
      <w:pPr>
        <w:pStyle w:val="Heading1"/>
      </w:pPr>
      <w:r>
        <w:t>6. Data Correction</w:t>
      </w:r>
    </w:p>
    <w:p>
      <w:r>
        <w:rPr>
          <w:b w:val="0"/>
          <w:i w:val="0"/>
        </w:rPr>
        <w:t>Users can correct transaction categorization directly in the app (category corrections are stored and applied going forward), update notification and household preferences from Settings, and contact support@rushingtechnologies.com for corrections to account-level data (e.g., email) that are not self-service.</w:t>
      </w:r>
    </w:p>
    <w:p>
      <w:pPr>
        <w:pStyle w:val="Heading1"/>
      </w:pPr>
      <w:r>
        <w:t>7. Legal and Compliance Basis</w:t>
      </w:r>
    </w:p>
    <w:p>
      <w:r>
        <w:rPr>
          <w:b w:val="0"/>
          <w:i w:val="0"/>
        </w:rPr>
        <w:t>This policy is designed to satisfy consumer rights of access, deletion, and correction under applicable U.S. state privacy laws. Deletion completion is evidenced by a durable, auditable database record rather than a log line alone, so ZenFinance can demonstrate compliance with a specific user's deletion request on request.</w:t>
      </w:r>
    </w:p>
    <w:p>
      <w:pPr>
        <w:pStyle w:val="Heading1"/>
      </w:pPr>
      <w:r>
        <w:t>8. Review Cadence</w:t>
      </w:r>
    </w:p>
    <w:p>
      <w:r>
        <w:rPr>
          <w:b w:val="0"/>
          <w:i w:val="0"/>
        </w:rPr>
        <w:t>This policy is reviewed periodically — at minimum whenever data collection practices, retention periods, or the list of third-party processors change — alongside the ZenFinance Security Audit (docs/SECURITY_AUDIT.md) and App Store Privacy Answers (docs/APP_STORE_PRIVACY.md). Last verified against the production codebase: July 14,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