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Logging and Monitoring Policy</w:t>
      </w:r>
    </w:p>
    <w:p>
      <w:r>
        <w:rPr>
          <w:i/>
          <w:sz w:val="22"/>
        </w:rPr>
        <w:t>ZenFinance — Rushing Technologies</w:t>
        <w:br/>
        <w:t>Last reviewed: July 14, 2026    |    Owner: Engineering    |    Applies to: ZenFinance API (production)</w:t>
      </w:r>
    </w:p>
    <w:p/>
    <w:p>
      <w:pPr>
        <w:pStyle w:val="Heading1"/>
      </w:pPr>
      <w:r>
        <w:t>1. Purpose and Scope</w:t>
      </w:r>
    </w:p>
    <w:p>
      <w:r>
        <w:rPr>
          <w:b w:val="0"/>
          <w:i w:val="0"/>
        </w:rPr>
        <w:t>This policy defines how ZenFinance's production API ("the Service") detects, records, and alerts on operational and security-relevant events. It covers application error monitoring, infrastructure health checks, and the audit trail retained for material events involving user data, linked financial accounts, and account lifecycle actions. It applies to the ZenFinance API service and its background workers, deployed on Railway.</w:t>
      </w:r>
    </w:p>
    <w:p>
      <w:pPr>
        <w:pStyle w:val="Heading1"/>
      </w:pPr>
      <w:r>
        <w:t>2. Error and Exception Monitoring</w:t>
      </w:r>
    </w:p>
    <w:p>
      <w:r>
        <w:rPr>
          <w:b w:val="0"/>
          <w:i w:val="0"/>
        </w:rPr>
        <w:t>All unhandled application errors are captured in real time via Sentry (@sentry/node):</w:t>
      </w:r>
    </w:p>
    <w:p>
      <w:pPr>
        <w:pStyle w:val="ListBullet"/>
      </w:pPr>
      <w:r>
        <w:t>Sentry is initialized at process startup with environment tagging (production/staging/development) so events are segmented by deployment.</w:t>
      </w:r>
    </w:p>
    <w:p>
      <w:pPr>
        <w:pStyle w:val="ListBullet"/>
      </w:pPr>
      <w:r>
        <w:t>Trace sampling is set to 20% in production and 100% in non-production environments, balancing signal capture against volume/cost.</w:t>
      </w:r>
    </w:p>
    <w:p>
      <w:pPr>
        <w:pStyle w:val="ListBullet"/>
      </w:pPr>
      <w:r>
        <w:t>sendDefaultPii is disabled (false) — Sentry's SDK-level automatic collection of PII (IP address, cookies, request bodies) is turned off.</w:t>
      </w:r>
    </w:p>
    <w:p>
      <w:pPr>
        <w:pStyle w:val="ListBullet"/>
      </w:pPr>
      <w:r>
        <w:t>A custom beforeSend hook recursively walks every outgoing event and redacts any field whose key matches email, password, token, secret, authorization, cookie, plaid, or revenuecat (case-insensitive) before the event ever leaves the process. Matched values are replaced with "[Filtered]".</w:t>
      </w:r>
    </w:p>
    <w:p>
      <w:pPr>
        <w:pStyle w:val="ListBullet"/>
      </w:pPr>
      <w:r>
        <w:t>Express's central error-handling middleware captures every unhandled request-path exception, tags it with the originating route and HTTP method, and forwards it to Sentry — clients only ever receive a generic 500 response with no stack trace or internal detail.</w:t>
      </w:r>
    </w:p>
    <w:p>
      <w:pPr>
        <w:pStyle w:val="Heading1"/>
      </w:pPr>
      <w:r>
        <w:t>3. Application Logging</w:t>
      </w:r>
    </w:p>
    <w:p>
      <w:r>
        <w:rPr>
          <w:b w:val="0"/>
          <w:i w:val="0"/>
        </w:rPr>
        <w:t>Operational logs are emitted to stdout/stderr (collected by Railway's platform logging) using a consistent subsystem-prefixed format, for example [api], [privacy], [rate-limit].</w:t>
      </w:r>
    </w:p>
    <w:p>
      <w:pPr>
        <w:pStyle w:val="ListBullet"/>
      </w:pPr>
      <w:r>
        <w:t>Before any error is written to a log line or attached to a Sentry event, it is passed through a shared safeErrorSummary() helper that strips sensitive detail from error objects, so raw exception payloads (which can contain request data) are never logged verbatim.</w:t>
      </w:r>
    </w:p>
    <w:p>
      <w:pPr>
        <w:pStyle w:val="ListBullet"/>
      </w:pPr>
      <w:r>
        <w:t>Startup and shutdown of every background worker (transaction sync, enrichment, feature rollup, first-look brief, weekly brief) is logged, giving on-call visibility into which subsystems are live after a deploy.</w:t>
      </w:r>
    </w:p>
    <w:p>
      <w:pPr>
        <w:pStyle w:val="ListBullet"/>
      </w:pPr>
      <w:r>
        <w:t>The provider-credential revocation sweep (see §5) logs both successful sweeps and failures, with failures additionally reported to Sentry.</w:t>
      </w:r>
    </w:p>
    <w:p>
      <w:pPr>
        <w:pStyle w:val="ListBullet"/>
      </w:pPr>
      <w:r>
        <w:t>The Redis-backed rate limiter logs when it falls back to a local, per-instance limiter because Redis is briefly unreachable, so degraded rate-limiting capacity is observable rather than silent.</w:t>
      </w:r>
    </w:p>
    <w:p>
      <w:pPr>
        <w:pStyle w:val="Heading1"/>
      </w:pPr>
      <w:r>
        <w:t>4. Infrastructure and Liveness Monitoring</w:t>
      </w:r>
    </w:p>
    <w:p>
      <w:r>
        <w:rPr>
          <w:b w:val="0"/>
          <w:i w:val="0"/>
        </w:rPr>
        <w:t>Two dedicated endpoints support automated infrastructure monitoring: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Endpoint</w:t>
            </w:r>
          </w:p>
        </w:tc>
        <w:tc>
          <w:tcPr>
            <w:tcW w:type="dxa" w:w="2880"/>
          </w:tcPr>
          <w:p>
            <w:r>
              <w:rPr>
                <w:b/>
              </w:rPr>
              <w:t>Checks</w:t>
            </w:r>
          </w:p>
        </w:tc>
        <w:tc>
          <w:tcPr>
            <w:tcW w:type="dxa" w:w="2880"/>
          </w:tcPr>
          <w:p>
            <w:r>
              <w:rPr>
                <w:b/>
              </w:rPr>
              <w:t>Used by</w:t>
            </w:r>
          </w:p>
        </w:tc>
      </w:tr>
      <w:tr>
        <w:tc>
          <w:tcPr>
            <w:tcW w:type="dxa" w:w="2880"/>
          </w:tcPr>
          <w:p>
            <w:r>
              <w:t>GET /health</w:t>
            </w:r>
          </w:p>
        </w:tc>
        <w:tc>
          <w:tcPr>
            <w:tcW w:type="dxa" w:w="2880"/>
          </w:tcPr>
          <w:p>
            <w:r>
              <w:t>Executes a live query against Postgres; returns 503 if the database is unreachable.</w:t>
            </w:r>
          </w:p>
        </w:tc>
        <w:tc>
          <w:tcPr>
            <w:tcW w:type="dxa" w:w="2880"/>
          </w:tcPr>
          <w:p>
            <w:r>
              <w:t>Uptime checks / load balancer health probe.</w:t>
            </w:r>
          </w:p>
        </w:tc>
      </w:tr>
      <w:tr>
        <w:tc>
          <w:tcPr>
            <w:tcW w:type="dxa" w:w="2880"/>
          </w:tcPr>
          <w:p>
            <w:r>
              <w:t>GET /ready</w:t>
            </w:r>
          </w:p>
        </w:tc>
        <w:tc>
          <w:tcPr>
            <w:tcW w:type="dxa" w:w="2880"/>
          </w:tcPr>
          <w:p>
            <w:r>
              <w:t>Verifies database connectivity and, in production, that Redis is configured; returns 503 if any check fails.</w:t>
            </w:r>
          </w:p>
        </w:tc>
        <w:tc>
          <w:tcPr>
            <w:tcW w:type="dxa" w:w="2880"/>
          </w:tcPr>
          <w:p>
            <w:r>
              <w:t>Deployment readiness gate on Railway.</w:t>
            </w:r>
          </w:p>
        </w:tc>
      </w:tr>
    </w:tbl>
    <w:p/>
    <w:p>
      <w:r>
        <w:rPr>
          <w:b w:val="0"/>
          <w:i w:val="0"/>
        </w:rPr>
        <w:t>Both endpoints intentionally check dependency health (not just process liveness), so a database or configuration problem is surfaced as an unhealthy deployment rather than a silently degraded one.</w:t>
      </w:r>
    </w:p>
    <w:p>
      <w:pPr>
        <w:pStyle w:val="Heading1"/>
      </w:pPr>
      <w:r>
        <w:t>5. Audit Trail for Material Events</w:t>
      </w:r>
    </w:p>
    <w:p>
      <w:r>
        <w:rPr>
          <w:b w:val="0"/>
          <w:i w:val="0"/>
        </w:rPr>
        <w:t>The following events are persisted as durable, queryable records — not only transient logs — because they represent material changes to a user's financial data access or account state:</w:t>
      </w:r>
    </w:p>
    <w:p>
      <w:pPr>
        <w:pStyle w:val="ListBullet"/>
      </w:pPr>
      <w:r>
        <w:t>Bank connection (Plaid item) state transitions — active, login_required, disconnected — driven by Plaid webhook events (ITEM/ERROR, ITEM/PENDING_EXPIRATION, ITEM/LOGIN_REPAIRED, ITEM/USER_PERMISSION_REVOKED, etc.) are written to the item's status column as they occur.</w:t>
      </w:r>
    </w:p>
    <w:p>
      <w:pPr>
        <w:pStyle w:val="ListBullet"/>
      </w:pPr>
      <w:r>
        <w:t>Account deletion produces an immutable, non-PII privacyDeletionEvents record: a hashed (not raw) email, the number of linked bank items, how many provider revocations failed, a per-processor deletion-status snapshot (Plaid, database, backups, model provider, Sentry), and a completion timestamp. See the companion Data Deletion and Retention Policy for detail.</w:t>
      </w:r>
    </w:p>
    <w:p>
      <w:pPr>
        <w:pStyle w:val="ListBullet"/>
      </w:pPr>
      <w:r>
        <w:t>Provider (Plaid) credential revocations that fail at deletion time are not just logged and discarded — they are queued as durable, database-backed retry jobs (providerRevocationJobs) with exponential backoff (up to 24 hours between attempts), specifically so that a Redis interruption or deploy cannot lose the only credential capable of revoking a user's bank connection. A background sweep runs every 60 seconds to process this queue.</w:t>
      </w:r>
    </w:p>
    <w:p>
      <w:pPr>
        <w:pStyle w:val="ListBullet"/>
      </w:pPr>
      <w:r>
        <w:t>First-party product and billing events (registration, linking, paywall, subscription changes, referrals, etc.) are persisted to append-only appEvents and billingEvents tables, supporting both security investigation and product analytics.</w:t>
      </w:r>
    </w:p>
    <w:p>
      <w:pPr>
        <w:pStyle w:val="Heading1"/>
      </w:pPr>
      <w:r>
        <w:t>6. Alerting</w:t>
      </w:r>
    </w:p>
    <w:p>
      <w:pPr>
        <w:pStyle w:val="ListBullet"/>
      </w:pPr>
      <w:r>
        <w:t>All Sentry-captured exceptions generate alerts through Sentry's standard issue/alert pipeline, routed to the engineering owner on record.</w:t>
      </w:r>
    </w:p>
    <w:p>
      <w:pPr>
        <w:pStyle w:val="ListBullet"/>
      </w:pPr>
      <w:r>
        <w:t>Health/readiness probe failures (503 responses) are surfaced through the hosting platform's (Railway) deployment and uptime monitoring.</w:t>
      </w:r>
    </w:p>
    <w:p>
      <w:pPr>
        <w:pStyle w:val="ListBullet"/>
      </w:pPr>
      <w:r>
        <w:t>The provider-revocation sweep and the account-deletion path both explicitly report failures to Sentry in addition to console logging, ensuring a failed bank-credential revocation is never silent.</w:t>
      </w:r>
    </w:p>
    <w:p>
      <w:pPr>
        <w:pStyle w:val="Heading1"/>
      </w:pPr>
      <w:r>
        <w:t>7. Data Handling Within Logs and Monitoring</w:t>
      </w:r>
    </w:p>
    <w:p>
      <w:pPr>
        <w:pStyle w:val="ListBullet"/>
      </w:pPr>
      <w:r>
        <w:t>No raw Plaid access tokens, passwords, JWTs, or session cookies are ever written to logs or transmitted to Sentry — they are redacted at the source (beforeSend) before leaving the process.</w:t>
      </w:r>
    </w:p>
    <w:p>
      <w:pPr>
        <w:pStyle w:val="ListBullet"/>
      </w:pPr>
      <w:r>
        <w:t>Audit records for account deletion store a salted hash of the user's email, never the plaintext address.</w:t>
      </w:r>
    </w:p>
    <w:p>
      <w:pPr>
        <w:pStyle w:val="ListBullet"/>
      </w:pPr>
      <w:r>
        <w:t>Sentry data retention and access follow Sentry's platform-level controls; ZenFinance does not separately export or archive Sentry events.</w:t>
      </w:r>
    </w:p>
    <w:p>
      <w:pPr>
        <w:pStyle w:val="Heading1"/>
      </w:pPr>
      <w:r>
        <w:t>8. Review Cadence</w:t>
      </w:r>
    </w:p>
    <w:p>
      <w:r>
        <w:rPr>
          <w:b w:val="0"/>
          <w:i w:val="0"/>
        </w:rPr>
        <w:t>This policy is reviewed alongside the ZenFinance Security Audit (docs/SECURITY_AUDIT.md) and updated whenever logging, monitoring, or audit-trail behavior changes in the codebase. Last verified against the production codebase: July 14,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