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63c9dfff8ea3c025b14560d92014e1e3f00395f"/>
    <w:p>
      <w:pPr>
        <w:pStyle w:val="Heading1"/>
      </w:pPr>
      <w:r>
        <w:t xml:space="preserve">Tareas entregables de concienciación — UD1</w:t>
      </w:r>
    </w:p>
    <w:p>
      <w:pPr>
        <w:pStyle w:val="BlockText"/>
      </w:pPr>
      <w:r>
        <w:rPr>
          <w:bCs/>
          <w:b/>
        </w:rPr>
        <w:t xml:space="preserve">Material de profesorado.</w:t>
      </w:r>
      <w:r>
        <w:t xml:space="preserve"> </w:t>
      </w:r>
      <w:r>
        <w:t xml:space="preserve">Apoyo para plantear y corregir las dos tareas de concienciación</w:t>
      </w:r>
      <w:r>
        <w:t xml:space="preserve"> </w:t>
      </w:r>
      <w:r>
        <w:t xml:space="preserve">de la UD1. No se publica en la versión de alumnado.</w:t>
      </w:r>
    </w:p>
    <w:p>
      <w:pPr>
        <w:pStyle w:val="FirstParagraph"/>
      </w:pPr>
      <w:r>
        <w:t xml:space="preserve">Las dos tareas forman una cadena con las actividades de aula: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 de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 · Plan de concienciación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 · Plan de formación y concienciación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 · Materiales de concienciación (kit)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 · Pósters de concienciación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</w:tr>
    </w:tbl>
    <w:p>
      <w:pPr>
        <w:pStyle w:val="BodyText"/>
      </w:pPr>
      <w:r>
        <w:t xml:space="preserve">El hilo es: en el aula se</w:t>
      </w:r>
      <w:r>
        <w:t xml:space="preserve"> </w:t>
      </w:r>
      <w:r>
        <w:rPr>
          <w:bCs/>
          <w:b/>
        </w:rPr>
        <w:t xml:space="preserve">aprende y practica</w:t>
      </w:r>
      <w:r>
        <w:t xml:space="preserve"> </w:t>
      </w:r>
      <w:r>
        <w:t xml:space="preserve">(1.3 y 1.4) y las tareas son la</w:t>
      </w:r>
      <w:r>
        <w:t xml:space="preserve"> </w:t>
      </w:r>
      <w:r>
        <w:rPr>
          <w:bCs/>
          <w:b/>
        </w:rPr>
        <w:t xml:space="preserve">evidencia</w:t>
      </w:r>
      <w:r>
        <w:rPr>
          <w:bCs/>
          <w:b/>
        </w:rPr>
        <w:t xml:space="preserve"> </w:t>
      </w:r>
      <w:r>
        <w:rPr>
          <w:bCs/>
          <w:b/>
        </w:rPr>
        <w:t xml:space="preserve">evaluable</w:t>
      </w:r>
      <w:r>
        <w:t xml:space="preserve"> </w:t>
      </w:r>
      <w:r>
        <w:t xml:space="preserve">(1.5 y 1.6). La 1.6 parte del plan de la 1.5; ambas se apoyan en el decálogo y la</w:t>
      </w:r>
      <w:r>
        <w:t xml:space="preserve"> </w:t>
      </w:r>
      <w:r>
        <w:t xml:space="preserve">normativa de la 1.2 y pueden usar como línea base el KPI de la campaña GoPhish (1.7/1.8).</w:t>
      </w:r>
    </w:p>
    <w:p>
      <w:r>
        <w:pict>
          <v:rect style="width:0;height:1.5pt" o:hralign="center" o:hrstd="t" o:hr="t"/>
        </w:pict>
      </w:r>
    </w:p>
    <w:bookmarkStart w:id="24" w:name="X905219fc40d2f533fd96fad0848c7e1e553a1da"/>
    <w:p>
      <w:pPr>
        <w:pStyle w:val="Heading2"/>
      </w:pPr>
      <w:r>
        <w:t xml:space="preserve">Tarea 1.5 · Plan de formación y concienciación (50 %)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Por parejas, diseñad un plan de formación y concienciación para la organización,</w:t>
      </w:r>
      <w:r>
        <w:t xml:space="preserve"> </w:t>
      </w:r>
      <w:r>
        <w:t xml:space="preserve">teniendo en cuenta los distintos roles (dirección, técnicos, administración; o los perfiles del</w:t>
      </w:r>
      <w:r>
        <w:t xml:space="preserve"> </w:t>
      </w:r>
      <w:r>
        <w:t xml:space="preserve">centro) y categorías. Hay que</w:t>
      </w:r>
      <w:r>
        <w:t xml:space="preserve"> </w:t>
      </w:r>
      <w:r>
        <w:rPr>
          <w:bCs/>
          <w:b/>
        </w:rPr>
        <w:t xml:space="preserve">justificar las decisiones</w:t>
      </w:r>
      <w:r>
        <w:t xml:space="preserve">.</w:t>
      </w:r>
      <w:r>
        <w:t xml:space="preserve"> </w:t>
      </w:r>
      <w:r>
        <w:rPr>
          <w:bCs/>
          <w:b/>
        </w:rPr>
        <w:t xml:space="preserve">Entregable:</w:t>
      </w:r>
      <w:r>
        <w:t xml:space="preserve"> </w:t>
      </w:r>
      <w:r>
        <w:t xml:space="preserve">documento PDF con índice e introducción, uno por grupo.</w:t>
      </w:r>
    </w:p>
    <w:bookmarkStart w:id="20" w:name="qué-debe-contener-estructura-recomendada"/>
    <w:p>
      <w:pPr>
        <w:pStyle w:val="Heading3"/>
      </w:pPr>
      <w:r>
        <w:t xml:space="preserve">Qué debe contener (estructura recomendada)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Portada e índice</w:t>
      </w:r>
      <w:r>
        <w:t xml:space="preserve"> </w:t>
      </w:r>
      <w:r>
        <w:t xml:space="preserve">· organización de referencia (TecnoMariña S.L. o los perfiles del</w:t>
      </w:r>
      <w:r>
        <w:t xml:space="preserve"> </w:t>
      </w:r>
      <w:r>
        <w:t xml:space="preserve">centro), autores y fecha.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Introducción y justificación</w:t>
      </w:r>
      <w:r>
        <w:t xml:space="preserve"> </w:t>
      </w:r>
      <w:r>
        <w:t xml:space="preserve">· por qué hace falta el plan: riesgos frecuentes</w:t>
      </w:r>
      <w:r>
        <w:t xml:space="preserve"> </w:t>
      </w:r>
      <w:r>
        <w:t xml:space="preserve">detectados (phishing, contraseñas débiles, shadow IT) y qué se quiere conseguir. Es la parte</w:t>
      </w:r>
      <w:r>
        <w:t xml:space="preserve"> </w:t>
      </w:r>
      <w:r>
        <w:t xml:space="preserve">donde se</w:t>
      </w:r>
      <w:r>
        <w:t xml:space="preserve"> </w:t>
      </w:r>
      <w:r>
        <w:rPr>
          <w:bCs/>
          <w:b/>
        </w:rPr>
        <w:t xml:space="preserve">justifican las decisiones</w:t>
      </w:r>
      <w:r>
        <w:t xml:space="preserve">, no solo se describen.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Análisis de públicos</w:t>
      </w:r>
      <w:r>
        <w:t xml:space="preserve"> </w:t>
      </w:r>
      <w:r>
        <w:t xml:space="preserve">· al menos tres perfiles diferenciados (dirección, técnicos,</w:t>
      </w:r>
      <w:r>
        <w:t xml:space="preserve"> </w:t>
      </w:r>
      <w:r>
        <w:t xml:space="preserve">administración) con sus riesgos típicos y qué mensaje/canal le encaja a cada uno.</w:t>
      </w:r>
      <w:r>
        <w:t xml:space="preserve"> </w:t>
      </w:r>
      <w:r>
        <w:rPr>
          <w:iCs/>
          <w:i/>
        </w:rPr>
        <w:t xml:space="preserve">Ejemplo:</w:t>
      </w:r>
      <w:r>
        <w:t xml:space="preserve"> </w:t>
      </w:r>
      <w:r>
        <w:t xml:space="preserve">dirección → riesgo y cumplimiento, sesión breve; técnicos → taller práctico;</w:t>
      </w:r>
      <w:r>
        <w:t xml:space="preserve"> </w:t>
      </w:r>
      <w:r>
        <w:t xml:space="preserve">administración → píldoras y cartelería.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Objetivos SMART</w:t>
      </w:r>
      <w:r>
        <w:t xml:space="preserve"> </w:t>
      </w:r>
      <w:r>
        <w:t xml:space="preserve">· específicos, medibles, alcanzables, relevantes y temporales.</w:t>
      </w:r>
      <w:r>
        <w:t xml:space="preserve"> </w:t>
      </w:r>
      <w:r>
        <w:rPr>
          <w:iCs/>
          <w:i/>
        </w:rPr>
        <w:t xml:space="preserve">Ejemplo:</w:t>
      </w:r>
      <w:r>
        <w:t xml:space="preserve"> </w:t>
      </w:r>
      <w:r>
        <w:t xml:space="preserve">«reducir la tasa de clic del simulacro de phishing del 30 % al 10 % en 6 meses</w:t>
      </w:r>
      <w:r>
        <w:t xml:space="preserve"> </w:t>
      </w:r>
      <w:r>
        <w:t xml:space="preserve">en el personal de administración».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Acciones y calendario</w:t>
      </w:r>
      <w:r>
        <w:t xml:space="preserve"> </w:t>
      </w:r>
      <w:r>
        <w:t xml:space="preserve">· qué se hace, cuándo y por qué fases.</w:t>
      </w:r>
      <w:r>
        <w:t xml:space="preserve"> </w:t>
      </w:r>
      <w:r>
        <w:rPr>
          <w:iCs/>
          <w:i/>
        </w:rPr>
        <w:t xml:space="preserve">Ejemplo:</w:t>
      </w:r>
      <w:r>
        <w:t xml:space="preserve"> </w:t>
      </w:r>
      <w:r>
        <w:t xml:space="preserve">mes 1</w:t>
      </w:r>
      <w:r>
        <w:t xml:space="preserve"> </w:t>
      </w:r>
      <w:r>
        <w:t xml:space="preserve">contraseñas y MFA · mes 2 simulacro de phishing · mes 3 seguridad en dispositivos móviles.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Canales</w:t>
      </w:r>
      <w:r>
        <w:t xml:space="preserve"> </w:t>
      </w:r>
      <w:r>
        <w:t xml:space="preserve">· cartelería, charlas, píldoras, Aula Virtual (Moodle)… justificando la elección</w:t>
      </w:r>
      <w:r>
        <w:t xml:space="preserve"> </w:t>
      </w:r>
      <w:r>
        <w:t xml:space="preserve">por público.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Indicadores (KPIs) y seguimiento</w:t>
      </w:r>
      <w:r>
        <w:t xml:space="preserve"> </w:t>
      </w:r>
      <w:r>
        <w:t xml:space="preserve">· nº de incidentes reportados, participación en la</w:t>
      </w:r>
      <w:r>
        <w:t xml:space="preserve"> </w:t>
      </w:r>
      <w:r>
        <w:t xml:space="preserve">formación y, sobre todo, la</w:t>
      </w:r>
      <w:r>
        <w:t xml:space="preserve"> </w:t>
      </w:r>
      <w:r>
        <w:rPr>
          <w:bCs/>
          <w:b/>
        </w:rPr>
        <w:t xml:space="preserve">tasa de clic de la campaña GoPhish de la 1.2 como línea base</w:t>
      </w:r>
      <w:r>
        <w:t xml:space="preserve">.</w:t>
      </w:r>
      <w:r>
        <w:t xml:space="preserve"> </w:t>
      </w:r>
      <w:r>
        <w:t xml:space="preserve">Cómo y cuándo se miden.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Recursos y responsables</w:t>
      </w:r>
      <w:r>
        <w:t xml:space="preserve"> </w:t>
      </w:r>
      <w:r>
        <w:t xml:space="preserve">· quién imparte/coordina y con qué materiales</w:t>
      </w:r>
      <w:r>
        <w:t xml:space="preserve"> </w:t>
      </w:r>
      <w:r>
        <w:t xml:space="preserve">(p. ej. Kit de concienciación de INCIBE).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Conclusión</w:t>
      </w:r>
      <w:r>
        <w:t xml:space="preserve"> </w:t>
      </w:r>
      <w:r>
        <w:t xml:space="preserve">· cómo se revisa y mejora el plan (ciclo PDCA).</w:t>
      </w:r>
    </w:p>
    <w:bookmarkEnd w:id="20"/>
    <w:bookmarkStart w:id="21" w:name="X9df453c6ae5223bec176397714a944446f2f9e7"/>
    <w:p>
      <w:pPr>
        <w:pStyle w:val="Heading3"/>
      </w:pPr>
      <w:r>
        <w:t xml:space="preserve">Criterios de corrección (rúbrica orientativa)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Públicos diferenciados reales</w:t>
      </w:r>
      <w:r>
        <w:t xml:space="preserve"> </w:t>
      </w:r>
      <w:r>
        <w:t xml:space="preserve">(25 %): mensaje y canal distintos por perfil, no un plan</w:t>
      </w:r>
      <w:r>
        <w:t xml:space="preserve"> </w:t>
      </w:r>
      <w:r>
        <w:t xml:space="preserve">único «para todos».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Objetivos SMART medibles</w:t>
      </w:r>
      <w:r>
        <w:t xml:space="preserve"> </w:t>
      </w:r>
      <w:r>
        <w:t xml:space="preserve">(20 %): con cifra y plazo; descartar objetivos vagos</w:t>
      </w:r>
      <w:r>
        <w:t xml:space="preserve"> </w:t>
      </w:r>
      <w:r>
        <w:t xml:space="preserve">(«concienciar más»).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Acciones + calendario + KPIs coherentes</w:t>
      </w:r>
      <w:r>
        <w:t xml:space="preserve"> </w:t>
      </w:r>
      <w:r>
        <w:t xml:space="preserve">(25 %): las acciones se miden con los KPIs y el</w:t>
      </w:r>
      <w:r>
        <w:t xml:space="preserve"> </w:t>
      </w:r>
      <w:r>
        <w:t xml:space="preserve">calendario es realista.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Justificación de decisiones</w:t>
      </w:r>
      <w:r>
        <w:t xml:space="preserve"> </w:t>
      </w:r>
      <w:r>
        <w:t xml:space="preserve">(20 %): cada elección (público, canal, periodicidad) va</w:t>
      </w:r>
      <w:r>
        <w:t xml:space="preserve"> </w:t>
      </w:r>
      <w:r>
        <w:t xml:space="preserve">razonada, que es lo que pide el enunciado.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Presentación y formato</w:t>
      </w:r>
      <w:r>
        <w:t xml:space="preserve"> </w:t>
      </w:r>
      <w:r>
        <w:t xml:space="preserve">(10 %): índice, introducción, claridad, uno por grupo.</w:t>
      </w:r>
    </w:p>
    <w:bookmarkEnd w:id="21"/>
    <w:bookmarkStart w:id="22" w:name="errores-comunes"/>
    <w:p>
      <w:pPr>
        <w:pStyle w:val="Heading3"/>
      </w:pPr>
      <w:r>
        <w:t xml:space="preserve">Errores comunes</w:t>
      </w:r>
    </w:p>
    <w:p>
      <w:pPr>
        <w:numPr>
          <w:ilvl w:val="0"/>
          <w:numId w:val="1003"/>
        </w:numPr>
        <w:pStyle w:val="Compact"/>
      </w:pPr>
      <w:r>
        <w:t xml:space="preserve">Plan único sin diferenciar públicos; objetivos sin métrica ni plazo; KPIs que no se pueden</w:t>
      </w:r>
      <w:r>
        <w:t xml:space="preserve"> </w:t>
      </w:r>
      <w:r>
        <w:t xml:space="preserve">medir; copiar el Kit de INCIBE sin adaptarlo a la organización; no justificar las decisiones.</w:t>
      </w:r>
    </w:p>
    <w:bookmarkEnd w:id="22"/>
    <w:bookmarkStart w:id="23" w:name="capa-de-ia-cómo-se-integra"/>
    <w:p>
      <w:pPr>
        <w:pStyle w:val="Heading3"/>
      </w:pPr>
      <w:r>
        <w:t xml:space="preserve">Capa de IA (cómo se integra)</w:t>
      </w:r>
    </w:p>
    <w:p>
      <w:pPr>
        <w:pStyle w:val="FirstParagraph"/>
      </w:pPr>
      <w:r>
        <w:t xml:space="preserve">La IA actúa como</w:t>
      </w:r>
      <w:r>
        <w:t xml:space="preserve"> </w:t>
      </w:r>
      <w:r>
        <w:rPr>
          <w:bCs/>
          <w:b/>
        </w:rPr>
        <w:t xml:space="preserve">público simulado</w:t>
      </w:r>
      <w:r>
        <w:t xml:space="preserve">, no como redactora: interpreta a un perfil real de la</w:t>
      </w:r>
      <w:r>
        <w:t xml:space="preserve"> </w:t>
      </w:r>
      <w:r>
        <w:t xml:space="preserve">plantilla (p. ej. una administrativa con poca paciencia para las charlas) y</w:t>
      </w:r>
      <w:r>
        <w:t xml:space="preserve"> </w:t>
      </w:r>
      <w:r>
        <w:rPr>
          <w:bCs/>
          <w:b/>
        </w:rPr>
        <w:t xml:space="preserve">reacciona al plan</w:t>
      </w:r>
      <w:r>
        <w:rPr>
          <w:bCs/>
          <w:b/>
        </w:rPr>
        <w:t xml:space="preserve"> </w:t>
      </w:r>
      <w:r>
        <w:rPr>
          <w:bCs/>
          <w:b/>
        </w:rPr>
        <w:t xml:space="preserve">sin ser amable</w:t>
      </w:r>
      <w:r>
        <w:t xml:space="preserve">; el plan se reescribe tras cada reacción. Para evitar que todos los grupos</w:t>
      </w:r>
      <w:r>
        <w:t xml:space="preserve"> </w:t>
      </w:r>
      <w:r>
        <w:t xml:space="preserve">entreguen lo mismo, cada pareja parte de una</w:t>
      </w:r>
      <w:r>
        <w:t xml:space="preserve"> </w:t>
      </w:r>
      <w:r>
        <w:rPr>
          <w:bCs/>
          <w:b/>
        </w:rPr>
        <w:t xml:space="preserve">restricción distinta</w:t>
      </w:r>
      <w:r>
        <w:t xml:space="preserve"> </w:t>
      </w:r>
      <w:r>
        <w:t xml:space="preserve">(personal a turnos,</w:t>
      </w:r>
      <w:r>
        <w:t xml:space="preserve"> </w:t>
      </w:r>
      <w:r>
        <w:t xml:space="preserve">teletrabajo, sin correo corporativo…). Los KPI salen de la campaña GoPhish, no de la IA.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area-16--pósters-de-concienciación-20-"/>
    <w:p>
      <w:pPr>
        <w:pStyle w:val="Heading2"/>
      </w:pPr>
      <w:r>
        <w:t xml:space="preserve">Tarea 1.6 · Pósters de concienciación (20 %)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partir del plan de la tarea 1.5, cread una serie de pósters tamaño A3 para</w:t>
      </w:r>
      <w:r>
        <w:t xml:space="preserve"> </w:t>
      </w:r>
      <w:r>
        <w:t xml:space="preserve">concienciar a la comunidad en materia de ciberseguridad.</w:t>
      </w:r>
      <w:r>
        <w:t xml:space="preserve"> </w:t>
      </w:r>
      <w:r>
        <w:rPr>
          <w:bCs/>
          <w:b/>
        </w:rPr>
        <w:t xml:space="preserve">Entregable:</w:t>
      </w:r>
      <w:r>
        <w:t xml:space="preserve"> </w:t>
      </w:r>
      <w:r>
        <w:t xml:space="preserve">PDF con</w:t>
      </w:r>
      <w:r>
        <w:t xml:space="preserve"> </w:t>
      </w:r>
      <w:r>
        <w:rPr>
          <w:bCs/>
          <w:b/>
        </w:rPr>
        <w:t xml:space="preserve">un póster por página</w:t>
      </w:r>
      <w:r>
        <w:t xml:space="preserve">.</w:t>
      </w:r>
    </w:p>
    <w:bookmarkStart w:id="25" w:name="qué-debe-contener"/>
    <w:p>
      <w:pPr>
        <w:pStyle w:val="Heading3"/>
      </w:pPr>
      <w:r>
        <w:t xml:space="preserve">Qué debe contener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Selección de mensajes</w:t>
      </w:r>
      <w:r>
        <w:t xml:space="preserve"> </w:t>
      </w:r>
      <w:r>
        <w:t xml:space="preserve">· tomar del plan de la 1.5 (y del decálogo de la 1.2) los mensajes</w:t>
      </w:r>
      <w:r>
        <w:t xml:space="preserve"> </w:t>
      </w:r>
      <w:r>
        <w:t xml:space="preserve">clave a reforzar; uno por póster, escrito como</w:t>
      </w:r>
      <w:r>
        <w:t xml:space="preserve"> </w:t>
      </w:r>
      <w:r>
        <w:rPr>
          <w:bCs/>
          <w:b/>
        </w:rPr>
        <w:t xml:space="preserve">acción concreta</w:t>
      </w:r>
      <w:r>
        <w:t xml:space="preserve">, no como prohibición</w:t>
      </w:r>
      <w:r>
        <w:t xml:space="preserve"> </w:t>
      </w:r>
      <w:r>
        <w:t xml:space="preserve">genérica.</w:t>
      </w:r>
      <w:r>
        <w:t xml:space="preserve"> </w:t>
      </w:r>
      <w:r>
        <w:rPr>
          <w:iCs/>
          <w:i/>
        </w:rPr>
        <w:t xml:space="preserve">Ejemplos:</w:t>
      </w:r>
    </w:p>
    <w:p>
      <w:pPr>
        <w:numPr>
          <w:ilvl w:val="1"/>
          <w:numId w:val="1005"/>
        </w:numPr>
        <w:pStyle w:val="Compact"/>
      </w:pPr>
      <w:r>
        <w:t xml:space="preserve">Phishing → «¿Te mete prisa? Para y comprueba el remitente antes de hacer clic».</w:t>
      </w:r>
    </w:p>
    <w:p>
      <w:pPr>
        <w:numPr>
          <w:ilvl w:val="1"/>
          <w:numId w:val="1005"/>
        </w:numPr>
        <w:pStyle w:val="Compact"/>
      </w:pPr>
      <w:r>
        <w:t xml:space="preserve">Contraseñas → «Una contraseña por servicio: deja que la recuerde el gestor».</w:t>
      </w:r>
    </w:p>
    <w:p>
      <w:pPr>
        <w:numPr>
          <w:ilvl w:val="1"/>
          <w:numId w:val="1005"/>
        </w:numPr>
        <w:pStyle w:val="Compact"/>
      </w:pPr>
      <w:r>
        <w:t xml:space="preserve">Bloqueo del puesto → «Te levantas, lo bloqueas: Win + L».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Serie coherente (hilo visual común)</w:t>
      </w:r>
      <w:r>
        <w:t xml:space="preserve"> </w:t>
      </w:r>
      <w:r>
        <w:t xml:space="preserve">· misma paleta, tipografía y un elemento gráfico</w:t>
      </w:r>
      <w:r>
        <w:t xml:space="preserve"> </w:t>
      </w:r>
      <w:r>
        <w:t xml:space="preserve">recurrente en todos los pósters.</w:t>
      </w:r>
      <w:r>
        <w:t xml:space="preserve"> </w:t>
      </w:r>
      <w:r>
        <w:rPr>
          <w:iCs/>
          <w:i/>
        </w:rPr>
        <w:t xml:space="preserve">Ejemplo:</w:t>
      </w:r>
      <w:r>
        <w:t xml:space="preserve"> </w:t>
      </w:r>
      <w:r>
        <w:t xml:space="preserve">campaña «Para, piensa, protege» con el mismo</w:t>
      </w:r>
      <w:r>
        <w:t xml:space="preserve"> </w:t>
      </w:r>
      <w:r>
        <w:t xml:space="preserve">icono de señal de stop.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Especificaciones del A3</w:t>
      </w:r>
      <w:r>
        <w:t xml:space="preserve"> </w:t>
      </w:r>
      <w:r>
        <w:t xml:space="preserve">· 297 × 420 mm; a 300 ppp ≈ 3508 × 4961 px; 3 mm de sangrado si</w:t>
      </w:r>
      <w:r>
        <w:t xml:space="preserve"> </w:t>
      </w:r>
      <w:r>
        <w:t xml:space="preserve">va a imprenta. Un</w:t>
      </w:r>
      <w:r>
        <w:t xml:space="preserve"> </w:t>
      </w:r>
      <w:r>
        <w:rPr>
          <w:bCs/>
          <w:b/>
        </w:rPr>
        <w:t xml:space="preserve">único mensaje por póster</w:t>
      </w:r>
      <w:r>
        <w:t xml:space="preserve">, legible a 2 m (titular grande, poco texto).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Accesibilidad</w:t>
      </w:r>
      <w:r>
        <w:t xml:space="preserve"> </w:t>
      </w:r>
      <w:r>
        <w:t xml:space="preserve">· contraste suficiente (texto normal ≥ 4,5:1, grande ≥ 3:1) y lenguaje</w:t>
      </w:r>
      <w:r>
        <w:t xml:space="preserve"> </w:t>
      </w:r>
      <w:r>
        <w:t xml:space="preserve">claro, para que el póster funcione también impreso en gris o visto de lejos.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Licencias de las imágenes</w:t>
      </w:r>
      <w:r>
        <w:t xml:space="preserve"> </w:t>
      </w:r>
      <w:r>
        <w:t xml:space="preserve">· usar imágenes propias o con licencia abierta (CC) y anotar</w:t>
      </w:r>
      <w:r>
        <w:t xml:space="preserve"> </w:t>
      </w:r>
      <w:r>
        <w:t xml:space="preserve">autor y licencia; si se usa imagen generada por IA, declararlo.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Entrega</w:t>
      </w:r>
      <w:r>
        <w:t xml:space="preserve"> </w:t>
      </w:r>
      <w:r>
        <w:t xml:space="preserve">· PDF, un póster por página; cada póster debe poder imprimirse tal cual.</w:t>
      </w:r>
    </w:p>
    <w:p>
      <w:pPr>
        <w:pStyle w:val="FirstParagraph"/>
      </w:pPr>
      <w:r>
        <w:t xml:space="preserve">Herramientas sugeridas: Canva o Inkscape (diseño), GIMP (retoque). Quien quiera, QR al material</w:t>
      </w:r>
      <w:r>
        <w:t xml:space="preserve"> </w:t>
      </w:r>
      <w:r>
        <w:t xml:space="preserve">del Aula Virtual (Moodle) como ampliación.</w:t>
      </w:r>
    </w:p>
    <w:bookmarkEnd w:id="25"/>
    <w:bookmarkStart w:id="26" w:name="X8f813140430cbc2318bb080f9867f5ac2dafd5a"/>
    <w:p>
      <w:pPr>
        <w:pStyle w:val="Heading3"/>
      </w:pPr>
      <w:r>
        <w:t xml:space="preserve">Criterios de corrección (rúbrica orientativa)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Coherencia con el plan 1.5</w:t>
      </w:r>
      <w:r>
        <w:t xml:space="preserve"> </w:t>
      </w:r>
      <w:r>
        <w:t xml:space="preserve">(20 %): los mensajes salen del plan, no son genéricos sueltos.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 mensaje claro por póster</w:t>
      </w:r>
      <w:r>
        <w:t xml:space="preserve"> </w:t>
      </w:r>
      <w:r>
        <w:t xml:space="preserve">(25 %): foco, jerarquía visual, legible a distancia.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Serie con hilo visual común</w:t>
      </w:r>
      <w:r>
        <w:t xml:space="preserve"> </w:t>
      </w:r>
      <w:r>
        <w:t xml:space="preserve">(20 %): se ve que es una campaña, no 4 pósters sin relación.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Accesibilidad y corrección</w:t>
      </w:r>
      <w:r>
        <w:t xml:space="preserve"> </w:t>
      </w:r>
      <w:r>
        <w:t xml:space="preserve">(20 %): contraste, lenguaje claro, sin faltas; A3 bien</w:t>
      </w:r>
      <w:r>
        <w:t xml:space="preserve"> </w:t>
      </w:r>
      <w:r>
        <w:t xml:space="preserve">dimensionado.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Licencias e integridad</w:t>
      </w:r>
      <w:r>
        <w:t xml:space="preserve"> </w:t>
      </w:r>
      <w:r>
        <w:t xml:space="preserve">(15 %): imágenes con licencia y declaradas; nada de marcas o</w:t>
      </w:r>
      <w:r>
        <w:t xml:space="preserve"> </w:t>
      </w:r>
      <w:r>
        <w:t xml:space="preserve">personajes protegidos.</w:t>
      </w:r>
    </w:p>
    <w:bookmarkEnd w:id="26"/>
    <w:bookmarkStart w:id="27" w:name="errores-comunes-1"/>
    <w:p>
      <w:pPr>
        <w:pStyle w:val="Heading3"/>
      </w:pPr>
      <w:r>
        <w:t xml:space="preserve">Errores comunes</w:t>
      </w:r>
    </w:p>
    <w:p>
      <w:pPr>
        <w:numPr>
          <w:ilvl w:val="0"/>
          <w:numId w:val="1007"/>
        </w:numPr>
        <w:pStyle w:val="Compact"/>
      </w:pPr>
      <w:r>
        <w:t xml:space="preserve">Pósters con demasiado texto; mensajes genéricos («¡Cuidado con los hackers!») sin acción;</w:t>
      </w:r>
      <w:r>
        <w:t xml:space="preserve"> </w:t>
      </w:r>
      <w:r>
        <w:t xml:space="preserve">serie sin unidad visual; contraste insuficiente; imágenes de Internet sin licencia o con</w:t>
      </w:r>
      <w:r>
        <w:t xml:space="preserve"> </w:t>
      </w:r>
      <w:r>
        <w:t xml:space="preserve">marcas reconocibles.</w:t>
      </w:r>
    </w:p>
    <w:bookmarkEnd w:id="27"/>
    <w:bookmarkStart w:id="28" w:name="capa-de-ia-cómo-se-integra-1"/>
    <w:p>
      <w:pPr>
        <w:pStyle w:val="Heading3"/>
      </w:pPr>
      <w:r>
        <w:t xml:space="preserve">Capa de IA (cómo se integra)</w:t>
      </w:r>
    </w:p>
    <w:p>
      <w:pPr>
        <w:pStyle w:val="FirstParagraph"/>
      </w:pPr>
      <w:r>
        <w:t xml:space="preserve">La IA genera</w:t>
      </w:r>
      <w:r>
        <w:t xml:space="preserve"> </w:t>
      </w:r>
      <w:r>
        <w:rPr>
          <w:bCs/>
          <w:b/>
        </w:rPr>
        <w:t xml:space="preserve">variantes</w:t>
      </w:r>
      <w:r>
        <w:t xml:space="preserve"> </w:t>
      </w:r>
      <w:r>
        <w:t xml:space="preserve">de mensaje y propuestas visuales, pero el grupo decide. Cada pieza</w:t>
      </w:r>
      <w:r>
        <w:t xml:space="preserve"> </w:t>
      </w:r>
      <w:r>
        <w:t xml:space="preserve">declara si la imagen está</w:t>
      </w:r>
      <w:r>
        <w:t xml:space="preserve"> </w:t>
      </w:r>
      <w:r>
        <w:rPr>
          <w:bCs/>
          <w:b/>
        </w:rPr>
        <w:t xml:space="preserve">generada por IA</w:t>
      </w:r>
      <w:r>
        <w:t xml:space="preserve"> </w:t>
      </w:r>
      <w:r>
        <w:t xml:space="preserve">(transparencia). Antes de dar por buena la serie,</w:t>
      </w:r>
      <w:r>
        <w:t xml:space="preserve"> </w:t>
      </w:r>
      <w:r>
        <w:t xml:space="preserve">otro grupo hace</w:t>
      </w:r>
      <w:r>
        <w:t xml:space="preserve"> </w:t>
      </w:r>
      <w:r>
        <w:rPr>
          <w:bCs/>
          <w:b/>
        </w:rPr>
        <w:t xml:space="preserve">revisión cruzada</w:t>
      </w:r>
      <w:r>
        <w:t xml:space="preserve">: busca marcas o personajes reconocibles (plagio visual),</w:t>
      </w:r>
      <w:r>
        <w:t xml:space="preserve"> </w:t>
      </w:r>
      <w:r>
        <w:t xml:space="preserve">comprueba el contraste y la claridad. Ninguna pieza entra en la campaña sin ese visto bueno.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ta-de-alcance"/>
    <w:p>
      <w:pPr>
        <w:pStyle w:val="Heading2"/>
      </w:pPr>
      <w:r>
        <w:t xml:space="preserve">Nota de alcance</w:t>
      </w:r>
    </w:p>
    <w:p>
      <w:pPr>
        <w:pStyle w:val="FirstParagraph"/>
      </w:pPr>
      <w:r>
        <w:t xml:space="preserve">Esta guía cubre las dos tareas de</w:t>
      </w:r>
      <w:r>
        <w:t xml:space="preserve"> </w:t>
      </w:r>
      <w:r>
        <w:rPr>
          <w:bCs/>
          <w:b/>
        </w:rPr>
        <w:t xml:space="preserve">concienciación</w:t>
      </w:r>
      <w:r>
        <w:t xml:space="preserve"> </w:t>
      </w:r>
      <w:r>
        <w:t xml:space="preserve">propiamente dichas (1.5 y 1.6). Las tareas</w:t>
      </w:r>
      <w:r>
        <w:t xml:space="preserve"> </w:t>
      </w:r>
      <w:r>
        <w:rPr>
          <w:bCs/>
          <w:b/>
        </w:rPr>
        <w:t xml:space="preserve">1.7 (Instalación de GoPhish)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1.8 (Informe de campaña de phishing)</w:t>
      </w:r>
      <w:r>
        <w:t xml:space="preserve"> </w:t>
      </w:r>
      <w:r>
        <w:t xml:space="preserve">pertenecen al bloque</w:t>
      </w:r>
      <w:r>
        <w:t xml:space="preserve"> </w:t>
      </w:r>
      <w:r>
        <w:t xml:space="preserve">de la simulación de phishing y ya están cubiertas por el documento</w:t>
      </w:r>
      <w:r>
        <w:t xml:space="preserve"> </w:t>
      </w:r>
      <w:r>
        <w:rPr>
          <w:iCs/>
          <w:i/>
        </w:rPr>
        <w:t xml:space="preserve">Entregable B · Simulación de</w:t>
      </w:r>
      <w:r>
        <w:rPr>
          <w:iCs/>
          <w:i/>
        </w:rPr>
        <w:t xml:space="preserve"> </w:t>
      </w:r>
      <w:r>
        <w:rPr>
          <w:iCs/>
          <w:i/>
        </w:rPr>
        <w:t xml:space="preserve">phishing local (aislada)</w:t>
      </w:r>
      <w:r>
        <w:t xml:space="preserve">. El informe de la 1.8 deriva</w:t>
      </w:r>
      <w:r>
        <w:t xml:space="preserve"> </w:t>
      </w:r>
      <w:r>
        <w:rPr>
          <w:bCs/>
          <w:b/>
        </w:rPr>
        <w:t xml:space="preserve">medidas de concienciación</w:t>
      </w:r>
      <w:r>
        <w:t xml:space="preserve"> </w:t>
      </w:r>
      <w:r>
        <w:t xml:space="preserve">que se</w:t>
      </w:r>
      <w:r>
        <w:t xml:space="preserve"> </w:t>
      </w:r>
      <w:r>
        <w:t xml:space="preserve">enlazan con el plan de la 1.5; si quieres, se amplían esas dos con el mismo nivel de detalle.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2026-10-27T11:30:08Z</dcterms:created>
  <dcterms:modified xsi:type="dcterms:W3CDTF">2026-10-27T11:30:08Z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