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Martin</w:t>
      </w:r>
      <w:r>
        <w:t xml:space="preserve"> </w:t>
      </w:r>
      <w:r>
        <w:t xml:space="preserve">Roberts</w:t>
      </w:r>
    </w:p>
    <w:p>
      <w:pPr>
        <w:pStyle w:val="Date"/>
      </w:pPr>
      <w:r>
        <w:t xml:space="preserve">2022-05-16</w:t>
      </w:r>
    </w:p>
    <w:bookmarkStart w:id="21" w:name="comm-8021-integrated-social-media"/>
    <w:p>
      <w:pPr>
        <w:pStyle w:val="Heading2"/>
      </w:pPr>
      <w:r>
        <w:t xml:space="preserve">COMM 8021 INTEGRATED SOCIAL MEDIA</w:t>
      </w:r>
    </w:p>
    <w:p>
      <w:pPr>
        <w:pStyle w:val="FirstParagraph"/>
      </w:pPr>
      <w:r>
        <w:t xml:space="preserve">Fitchburg State University</w:t>
      </w:r>
      <w:r>
        <w:br/>
      </w:r>
      <w:r>
        <w:t xml:space="preserve">Communications Media Department</w:t>
      </w:r>
      <w:r>
        <w:br/>
      </w:r>
      <w:r>
        <w:t xml:space="preserve">MS in Applied Communication: Social Media Concentration</w:t>
      </w:r>
    </w:p>
    <w:p>
      <w:pPr>
        <w:pStyle w:val="BodyText"/>
      </w:pPr>
      <w:r>
        <w:t xml:space="preserve">Schedule: Monday 16 May – Monday 4 July 2022</w:t>
      </w:r>
      <w:r>
        <w:br/>
      </w:r>
      <w:r>
        <w:t xml:space="preserve">Instructor: Dr. Martin Roberts</w:t>
      </w:r>
      <w:r>
        <w:br/>
      </w:r>
      <w:r>
        <w:t xml:space="preserve">Contact:</w:t>
      </w:r>
      <w:r>
        <w:t xml:space="preserve"> </w:t>
      </w:r>
      <w:hyperlink r:id="rId20">
        <w:r>
          <w:rPr>
            <w:rStyle w:val="Hyperlink"/>
          </w:rPr>
          <w:t xml:space="preserve">Email</w:t>
        </w:r>
      </w:hyperlink>
    </w:p>
    <w:p>
      <w:r>
        <w:pict>
          <v:rect style="width:0;height:1.5pt" o:hralign="center" o:hrstd="t" o:hr="t"/>
        </w:pict>
      </w:r>
    </w:p>
    <w:bookmarkEnd w:id="21"/>
    <w:bookmarkStart w:id="22" w:name="overview"/>
    <w:p>
      <w:pPr>
        <w:pStyle w:val="Heading2"/>
      </w:pPr>
      <w:r>
        <w:t xml:space="preserve">OVERVIEW</w:t>
      </w:r>
    </w:p>
    <w:p>
      <w:pPr>
        <w:pStyle w:val="FirstParagraph"/>
      </w:pPr>
      <w:r>
        <w:t xml:space="preserve">This course provides students the opportunity to learn about advanced applications of social media and produce high quality content for organizations. Issues addressed include search engine optimization (SEO), workflow, convergence, production of culture, conscientious posting, and coordination between networked audiences and publics. The course examines communication theory and practices, how they are integrated into and illustrated in social media, and how this affects users and producers. Social media are ever-evolving tool-sets and distribution platforms, and they are linked by a core set of skills and best practices. The course applies these core skills and practices to user organizations as they relate to business and communicative contexts.</w:t>
      </w:r>
    </w:p>
    <w:p>
      <w:r>
        <w:pict>
          <v:rect style="width:0;height:1.5pt" o:hralign="center" o:hrstd="t" o:hr="t"/>
        </w:pict>
      </w:r>
    </w:p>
    <w:bookmarkEnd w:id="22"/>
    <w:bookmarkStart w:id="23" w:name="objectives"/>
    <w:p>
      <w:pPr>
        <w:pStyle w:val="Heading2"/>
      </w:pPr>
      <w:r>
        <w:t xml:space="preserve">OBJECTIVES</w:t>
      </w:r>
    </w:p>
    <w:p>
      <w:pPr>
        <w:pStyle w:val="FirstParagraph"/>
      </w:pPr>
      <w:r>
        <w:t xml:space="preserve">By the end of the course, students should have acquired the following skills:</w:t>
      </w:r>
    </w:p>
    <w:p>
      <w:pPr>
        <w:numPr>
          <w:ilvl w:val="0"/>
          <w:numId w:val="1001"/>
        </w:numPr>
        <w:pStyle w:val="Compact"/>
      </w:pPr>
      <w:r>
        <w:t xml:space="preserve">Understand the intersection of social media practices with communication theory to determine their best uses in both practical and academic contexts</w:t>
      </w:r>
      <w:r>
        <w:br/>
      </w:r>
    </w:p>
    <w:p>
      <w:pPr>
        <w:numPr>
          <w:ilvl w:val="0"/>
          <w:numId w:val="1001"/>
        </w:numPr>
        <w:pStyle w:val="Compact"/>
      </w:pPr>
      <w:r>
        <w:t xml:space="preserve">Examine how the world of social media works through research into historical communication practices</w:t>
      </w:r>
      <w:r>
        <w:br/>
      </w:r>
    </w:p>
    <w:p>
      <w:pPr>
        <w:numPr>
          <w:ilvl w:val="0"/>
          <w:numId w:val="1001"/>
        </w:numPr>
        <w:pStyle w:val="Compact"/>
      </w:pPr>
      <w:r>
        <w:t xml:space="preserve">Propose effective communication strategies for local businesses based on theoretical evidence obtained through research</w:t>
      </w:r>
      <w:r>
        <w:br/>
      </w:r>
    </w:p>
    <w:p>
      <w:pPr>
        <w:numPr>
          <w:ilvl w:val="0"/>
          <w:numId w:val="1001"/>
        </w:numPr>
        <w:pStyle w:val="Compact"/>
      </w:pPr>
      <w:r>
        <w:t xml:space="preserve">Create entry-level and intermediate social media strategies for outreach and content generation</w:t>
      </w:r>
      <w:r>
        <w:br/>
      </w:r>
    </w:p>
    <w:p>
      <w:pPr>
        <w:numPr>
          <w:ilvl w:val="0"/>
          <w:numId w:val="1001"/>
        </w:numPr>
        <w:pStyle w:val="Compact"/>
      </w:pPr>
      <w:r>
        <w:t xml:space="preserve">Participate in group discussion to break down advanced readings and apply them to practical problems</w:t>
      </w:r>
      <w:r>
        <w:br/>
      </w:r>
    </w:p>
    <w:p>
      <w:pPr>
        <w:numPr>
          <w:ilvl w:val="0"/>
          <w:numId w:val="1001"/>
        </w:numPr>
        <w:pStyle w:val="Compact"/>
      </w:pPr>
      <w:r>
        <w:t xml:space="preserve">Produce theory-based documentation in individual and group-based projects for social media</w:t>
      </w:r>
      <w:r>
        <w:br/>
      </w:r>
    </w:p>
    <w:p>
      <w:pPr>
        <w:numPr>
          <w:ilvl w:val="0"/>
          <w:numId w:val="1001"/>
        </w:numPr>
        <w:pStyle w:val="Compact"/>
      </w:pPr>
      <w:r>
        <w:t xml:space="preserve">Speculate in an informed way about the future of social media and applied social media practices by drawing both on reading assignments and extracurricular activities as a basis for further understanding of social media affordances</w:t>
      </w:r>
    </w:p>
    <w:p>
      <w:r>
        <w:pict>
          <v:rect style="width:0;height:1.5pt" o:hralign="center" o:hrstd="t" o:hr="t"/>
        </w:pict>
      </w:r>
    </w:p>
    <w:bookmarkEnd w:id="23"/>
    <w:bookmarkStart w:id="24" w:name="reading-assignments"/>
    <w:p>
      <w:pPr>
        <w:pStyle w:val="Heading2"/>
      </w:pPr>
      <w:r>
        <w:t xml:space="preserve">READING ASSIGNMENTS</w:t>
      </w:r>
    </w:p>
    <w:p>
      <w:pPr>
        <w:pStyle w:val="FirstParagraph"/>
      </w:pPr>
      <w:r>
        <w:rPr>
          <w:bCs/>
          <w:b/>
        </w:rPr>
        <w:t xml:space="preserve">Required Texts</w:t>
      </w:r>
      <w:r>
        <w:br/>
      </w:r>
      <w:r>
        <w:t xml:space="preserve">Frick, T., &amp; Eyler-Werve, K. (2015).</w:t>
      </w:r>
      <w:r>
        <w:t xml:space="preserve"> </w:t>
      </w:r>
      <w:r>
        <w:rPr>
          <w:iCs/>
          <w:i/>
        </w:rPr>
        <w:t xml:space="preserve">Return on engagement: Content strategy and web design techniques for digital marketing</w:t>
      </w:r>
      <w:r>
        <w:t xml:space="preserve">. 2nd Edition. Taylor &amp; Francis, New York.</w:t>
      </w:r>
    </w:p>
    <w:p>
      <w:pPr>
        <w:pStyle w:val="BodyText"/>
      </w:pPr>
      <w:r>
        <w:t xml:space="preserve">Jenkins, H., Ford, S., &amp; Green, J. (2013).</w:t>
      </w:r>
      <w:r>
        <w:t xml:space="preserve"> </w:t>
      </w:r>
      <w:r>
        <w:rPr>
          <w:iCs/>
          <w:i/>
        </w:rPr>
        <w:t xml:space="preserve">Spreadable media: Creating value and meaning in a networked culture</w:t>
      </w:r>
      <w:r>
        <w:t xml:space="preserve">. New York University Press, New York.</w:t>
      </w:r>
    </w:p>
    <w:p>
      <w:pPr>
        <w:pStyle w:val="BodyText"/>
      </w:pPr>
      <w:r>
        <w:rPr>
          <w:bCs/>
          <w:b/>
        </w:rPr>
        <w:t xml:space="preserve">Other Sources</w:t>
      </w:r>
      <w:r>
        <w:br/>
      </w:r>
      <w:r>
        <w:t xml:space="preserve">Jenkins, H.,</w:t>
      </w:r>
      <w:r>
        <w:t xml:space="preserve"> </w:t>
      </w:r>
      <w:r>
        <w:t xml:space="preserve">“</w:t>
      </w:r>
      <w:r>
        <w:t xml:space="preserve">Quentin Tarantino’s</w:t>
      </w:r>
      <w:r>
        <w:t xml:space="preserve"> </w:t>
      </w:r>
      <w:r>
        <w:rPr>
          <w:iCs/>
          <w:i/>
        </w:rPr>
        <w:t xml:space="preserve">Star Wars</w:t>
      </w:r>
      <w:r>
        <w:t xml:space="preserve">? Grassroots Creativity Meets the Media Industry,</w:t>
      </w:r>
      <w:r>
        <w:t xml:space="preserve">”</w:t>
      </w:r>
      <w:r>
        <w:t xml:space="preserve"> </w:t>
      </w:r>
      <w:r>
        <w:t xml:space="preserve">in</w:t>
      </w:r>
      <w:r>
        <w:t xml:space="preserve"> </w:t>
      </w:r>
      <w:r>
        <w:rPr>
          <w:iCs/>
          <w:i/>
        </w:rPr>
        <w:t xml:space="preserve">Convergence Culture</w:t>
      </w:r>
      <w:r>
        <w:t xml:space="preserve">.</w:t>
      </w:r>
    </w:p>
    <w:p>
      <w:pPr>
        <w:pStyle w:val="BodyText"/>
      </w:pPr>
      <w:r>
        <w:t xml:space="preserve">Marwick, A. (2013).</w:t>
      </w:r>
      <w:r>
        <w:t xml:space="preserve"> </w:t>
      </w:r>
      <w:r>
        <w:t xml:space="preserve">“</w:t>
      </w:r>
      <w:r>
        <w:t xml:space="preserve">Online Identity.</w:t>
      </w:r>
      <w:r>
        <w:t xml:space="preserve">”</w:t>
      </w:r>
      <w:r>
        <w:t xml:space="preserve"> </w:t>
      </w:r>
      <w:r>
        <w:t xml:space="preserve">In Hartley, J. Burgess, J. &amp; Bruns, A. (eds),</w:t>
      </w:r>
      <w:r>
        <w:t xml:space="preserve"> </w:t>
      </w:r>
      <w:r>
        <w:rPr>
          <w:iCs/>
          <w:i/>
        </w:rPr>
        <w:t xml:space="preserve">Companion to New Media Dynamics</w:t>
      </w:r>
      <w:r>
        <w:t xml:space="preserve">. Blackwell Companions to Cultural Studies. Malden, MA: Blackwell, pp. 355-364.</w:t>
      </w:r>
    </w:p>
    <w:p>
      <w:pPr>
        <w:pStyle w:val="BodyText"/>
      </w:pPr>
      <w:r>
        <w:t xml:space="preserve">Peterson, R., &amp; Anand, N. (2004).</w:t>
      </w:r>
      <w:r>
        <w:t xml:space="preserve"> </w:t>
      </w:r>
      <w:r>
        <w:t xml:space="preserve">“</w:t>
      </w:r>
      <w:r>
        <w:t xml:space="preserve">The Production of Culture Perspective.</w:t>
      </w:r>
      <w:r>
        <w:t xml:space="preserve">”</w:t>
      </w:r>
      <w:r>
        <w:t xml:space="preserve"> </w:t>
      </w:r>
      <w:r>
        <w:rPr>
          <w:iCs/>
          <w:i/>
        </w:rPr>
        <w:t xml:space="preserve">Annual Review of Sociology</w:t>
      </w:r>
      <w:r>
        <w:t xml:space="preserve">. 30, 311-334.</w:t>
      </w:r>
    </w:p>
    <w:p>
      <w:r>
        <w:pict>
          <v:rect style="width:0;height:1.5pt" o:hralign="center" o:hrstd="t" o:hr="t"/>
        </w:pict>
      </w:r>
    </w:p>
    <w:bookmarkEnd w:id="24"/>
    <w:bookmarkStart w:id="26" w:name="course-information"/>
    <w:p>
      <w:pPr>
        <w:pStyle w:val="Heading2"/>
      </w:pPr>
      <w:r>
        <w:t xml:space="preserve">COURSE INFORMATION</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26"/>
    <w:bookmarkStart w:id="27" w:name="reading-schedule"/>
    <w:p>
      <w:pPr>
        <w:pStyle w:val="Heading2"/>
      </w:pPr>
      <w:r>
        <w:t xml:space="preserve">READING SCHEDULE</w:t>
      </w:r>
    </w:p>
    <w:p>
      <w:pPr>
        <w:pStyle w:val="FirstParagraph"/>
      </w:pPr>
      <w:r>
        <w:rPr>
          <w:bCs/>
          <w:b/>
        </w:rPr>
        <w:t xml:space="preserve">Week 1</w:t>
      </w:r>
      <w:r>
        <w:t xml:space="preserve"> </w:t>
      </w:r>
      <w:r>
        <w:t xml:space="preserve">Mon 05/16/22</w:t>
      </w:r>
    </w:p>
    <w:p>
      <w:pPr>
        <w:numPr>
          <w:ilvl w:val="0"/>
          <w:numId w:val="1002"/>
        </w:numPr>
        <w:pStyle w:val="Compact"/>
      </w:pPr>
      <w:r>
        <w:t xml:space="preserve">Marwick,</w:t>
      </w:r>
      <w:r>
        <w:t xml:space="preserve"> </w:t>
      </w:r>
      <w:r>
        <w:t xml:space="preserve">“</w:t>
      </w:r>
      <w:r>
        <w:t xml:space="preserve">Online Identity</w:t>
      </w:r>
      <w:r>
        <w:t xml:space="preserve">”</w:t>
      </w:r>
      <w:r>
        <w:br/>
      </w:r>
    </w:p>
    <w:p>
      <w:pPr>
        <w:numPr>
          <w:ilvl w:val="0"/>
          <w:numId w:val="1002"/>
        </w:numPr>
        <w:pStyle w:val="Compact"/>
      </w:pPr>
      <w:r>
        <w:t xml:space="preserve">Jenkins Ford, &amp; Green,</w:t>
      </w:r>
      <w:r>
        <w:t xml:space="preserve"> </w:t>
      </w:r>
      <w:r>
        <w:rPr>
          <w:iCs/>
          <w:i/>
        </w:rPr>
        <w:t xml:space="preserve">Spreadable Media</w:t>
      </w:r>
      <w:r>
        <w:t xml:space="preserve">, ch. 1:</w:t>
      </w:r>
      <w:r>
        <w:t xml:space="preserve"> </w:t>
      </w:r>
      <w:r>
        <w:t xml:space="preserve">“</w:t>
      </w:r>
      <w:r>
        <w:t xml:space="preserve">Where Web 2.0 Went Wrong</w:t>
      </w:r>
      <w:r>
        <w:t xml:space="preserve">”</w:t>
      </w:r>
      <w:r>
        <w:br/>
      </w:r>
    </w:p>
    <w:p>
      <w:pPr>
        <w:numPr>
          <w:ilvl w:val="0"/>
          <w:numId w:val="1002"/>
        </w:numPr>
        <w:pStyle w:val="Compact"/>
      </w:pPr>
      <w:r>
        <w:t xml:space="preserve">Frick &amp; Eyler-Werve,</w:t>
      </w:r>
      <w:r>
        <w:t xml:space="preserve"> </w:t>
      </w:r>
      <w:r>
        <w:rPr>
          <w:iCs/>
          <w:i/>
        </w:rPr>
        <w:t xml:space="preserve">Return on Engagement</w:t>
      </w:r>
      <w:r>
        <w:t xml:space="preserve">, ch. 1:</w:t>
      </w:r>
      <w:r>
        <w:t xml:space="preserve"> </w:t>
      </w:r>
      <w:r>
        <w:t xml:space="preserve">“</w:t>
      </w:r>
      <w:r>
        <w:t xml:space="preserve">Digital Marketing Strategy Basics</w:t>
      </w:r>
      <w:r>
        <w:t xml:space="preserve">”</w:t>
      </w:r>
    </w:p>
    <w:p>
      <w:r>
        <w:pict>
          <v:rect style="width:0;height:1.5pt" o:hralign="center" o:hrstd="t" o:hr="t"/>
        </w:pict>
      </w:r>
    </w:p>
    <w:p>
      <w:pPr>
        <w:pStyle w:val="FirstParagraph"/>
      </w:pPr>
      <w:r>
        <w:rPr>
          <w:bCs/>
          <w:b/>
        </w:rPr>
        <w:t xml:space="preserve">Week 2</w:t>
      </w:r>
      <w:r>
        <w:t xml:space="preserve"> </w:t>
      </w:r>
      <w:r>
        <w:t xml:space="preserve">Mon 05/23/22</w:t>
      </w:r>
    </w:p>
    <w:p>
      <w:pPr>
        <w:numPr>
          <w:ilvl w:val="0"/>
          <w:numId w:val="1003"/>
        </w:numPr>
        <w:pStyle w:val="Compact"/>
      </w:pPr>
      <w:r>
        <w:t xml:space="preserve">Frick &amp; Eyler-Werve,</w:t>
      </w:r>
      <w:r>
        <w:t xml:space="preserve"> </w:t>
      </w:r>
      <w:r>
        <w:rPr>
          <w:iCs/>
          <w:i/>
        </w:rPr>
        <w:t xml:space="preserve">Return on Engagement</w:t>
      </w:r>
      <w:r>
        <w:t xml:space="preserve">, ch. 2:</w:t>
      </w:r>
      <w:r>
        <w:t xml:space="preserve"> </w:t>
      </w:r>
      <w:r>
        <w:t xml:space="preserve">“</w:t>
      </w:r>
      <w:r>
        <w:t xml:space="preserve">Content Strategy</w:t>
      </w:r>
      <w:r>
        <w:t xml:space="preserve">”</w:t>
      </w:r>
      <w:r>
        <w:br/>
      </w:r>
    </w:p>
    <w:p>
      <w:pPr>
        <w:numPr>
          <w:ilvl w:val="0"/>
          <w:numId w:val="1003"/>
        </w:numPr>
        <w:pStyle w:val="Compact"/>
      </w:pPr>
      <w:r>
        <w:t xml:space="preserve">Jenkins,</w:t>
      </w:r>
      <w:r>
        <w:t xml:space="preserve"> </w:t>
      </w:r>
      <w:r>
        <w:t xml:space="preserve">“</w:t>
      </w:r>
      <w:r>
        <w:t xml:space="preserve">Quentin Tarantino’s</w:t>
      </w:r>
      <w:r>
        <w:t xml:space="preserve"> </w:t>
      </w:r>
      <w:r>
        <w:rPr>
          <w:iCs/>
          <w:i/>
        </w:rPr>
        <w:t xml:space="preserve">Star Wars</w:t>
      </w:r>
      <w:r>
        <w:t xml:space="preserve">? Grassroots Creativity Meets the Media Industry</w:t>
      </w:r>
      <w:r>
        <w:t xml:space="preserve">”</w:t>
      </w:r>
      <w:r>
        <w:br/>
      </w:r>
    </w:p>
    <w:p>
      <w:pPr>
        <w:numPr>
          <w:ilvl w:val="0"/>
          <w:numId w:val="1003"/>
        </w:numPr>
        <w:pStyle w:val="Compact"/>
      </w:pPr>
      <w:r>
        <w:t xml:space="preserve">Peterson &amp; Anand,</w:t>
      </w:r>
      <w:r>
        <w:t xml:space="preserve"> </w:t>
      </w:r>
      <w:r>
        <w:t xml:space="preserve">“</w:t>
      </w:r>
      <w:r>
        <w:t xml:space="preserve">The Production of Culture Perspective</w:t>
      </w:r>
      <w:r>
        <w:t xml:space="preserve">”</w:t>
      </w:r>
    </w:p>
    <w:p>
      <w:r>
        <w:pict>
          <v:rect style="width:0;height:1.5pt" o:hralign="center" o:hrstd="t" o:hr="t"/>
        </w:pict>
      </w:r>
    </w:p>
    <w:p>
      <w:pPr>
        <w:pStyle w:val="FirstParagraph"/>
      </w:pPr>
      <w:r>
        <w:rPr>
          <w:bCs/>
          <w:b/>
        </w:rPr>
        <w:t xml:space="preserve">Week 3</w:t>
      </w:r>
      <w:r>
        <w:t xml:space="preserve"> </w:t>
      </w:r>
      <w:r>
        <w:t xml:space="preserve">Mon 05/30/22</w:t>
      </w:r>
    </w:p>
    <w:p>
      <w:pPr>
        <w:numPr>
          <w:ilvl w:val="0"/>
          <w:numId w:val="1004"/>
        </w:numPr>
        <w:pStyle w:val="Compact"/>
      </w:pPr>
      <w:r>
        <w:t xml:space="preserve">Frick &amp; Eyler-Werve,</w:t>
      </w:r>
      <w:r>
        <w:t xml:space="preserve"> </w:t>
      </w:r>
      <w:r>
        <w:rPr>
          <w:iCs/>
          <w:i/>
        </w:rPr>
        <w:t xml:space="preserve">Return on Engagement</w:t>
      </w:r>
      <w:r>
        <w:t xml:space="preserve">, chs. 3-4:</w:t>
      </w:r>
      <w:r>
        <w:t xml:space="preserve"> </w:t>
      </w:r>
      <w:r>
        <w:t xml:space="preserve">“</w:t>
      </w:r>
      <w:r>
        <w:t xml:space="preserve">SEO and Content Strategy</w:t>
      </w:r>
      <w:r>
        <w:t xml:space="preserve">”</w:t>
      </w:r>
      <w:r>
        <w:t xml:space="preserve">;</w:t>
      </w:r>
      <w:r>
        <w:t xml:space="preserve"> </w:t>
      </w:r>
      <w:r>
        <w:t xml:space="preserve">“</w:t>
      </w:r>
      <w:r>
        <w:t xml:space="preserve">Design Strategy: An Integrated Approach</w:t>
      </w:r>
      <w:r>
        <w:t xml:space="preserve">”</w:t>
      </w:r>
    </w:p>
    <w:p>
      <w:pPr>
        <w:numPr>
          <w:ilvl w:val="0"/>
          <w:numId w:val="1004"/>
        </w:numPr>
        <w:pStyle w:val="Compact"/>
      </w:pPr>
      <w:r>
        <w:t xml:space="preserve">Jenkins Ford, &amp; Green,</w:t>
      </w:r>
      <w:r>
        <w:t xml:space="preserve"> </w:t>
      </w:r>
      <w:r>
        <w:rPr>
          <w:iCs/>
          <w:i/>
        </w:rPr>
        <w:t xml:space="preserve">Spreadable Media</w:t>
      </w:r>
      <w:r>
        <w:t xml:space="preserve">, ch. 2:</w:t>
      </w:r>
      <w:r>
        <w:t xml:space="preserve"> </w:t>
      </w:r>
      <w:r>
        <w:t xml:space="preserve">“</w:t>
      </w:r>
      <w:r>
        <w:t xml:space="preserve">Reappraising the Residual</w:t>
      </w:r>
      <w:r>
        <w:t xml:space="preserve">”</w:t>
      </w:r>
    </w:p>
    <w:p>
      <w:r>
        <w:pict>
          <v:rect style="width:0;height:1.5pt" o:hralign="center" o:hrstd="t" o:hr="t"/>
        </w:pict>
      </w:r>
    </w:p>
    <w:p>
      <w:pPr>
        <w:pStyle w:val="FirstParagraph"/>
      </w:pPr>
      <w:r>
        <w:rPr>
          <w:bCs/>
          <w:b/>
        </w:rPr>
        <w:t xml:space="preserve">Week 4</w:t>
      </w:r>
      <w:r>
        <w:t xml:space="preserve"> </w:t>
      </w:r>
      <w:r>
        <w:t xml:space="preserve">Mon 06/06/22</w:t>
      </w:r>
    </w:p>
    <w:p>
      <w:pPr>
        <w:numPr>
          <w:ilvl w:val="0"/>
          <w:numId w:val="1005"/>
        </w:numPr>
        <w:pStyle w:val="Compact"/>
      </w:pPr>
      <w:r>
        <w:t xml:space="preserve">Frick &amp; Eyler-Werve,</w:t>
      </w:r>
      <w:r>
        <w:t xml:space="preserve"> </w:t>
      </w:r>
      <w:r>
        <w:rPr>
          <w:iCs/>
          <w:i/>
        </w:rPr>
        <w:t xml:space="preserve">Return on Engagement</w:t>
      </w:r>
      <w:r>
        <w:t xml:space="preserve">, ch. 5:</w:t>
      </w:r>
      <w:r>
        <w:t xml:space="preserve"> </w:t>
      </w:r>
      <w:r>
        <w:t xml:space="preserve">“</w:t>
      </w:r>
      <w:r>
        <w:t xml:space="preserve">Measurement Strategy</w:t>
      </w:r>
      <w:r>
        <w:t xml:space="preserve">”</w:t>
      </w:r>
      <w:r>
        <w:br/>
      </w:r>
    </w:p>
    <w:p>
      <w:pPr>
        <w:numPr>
          <w:ilvl w:val="0"/>
          <w:numId w:val="1005"/>
        </w:numPr>
        <w:pStyle w:val="Compact"/>
      </w:pPr>
      <w:r>
        <w:t xml:space="preserve">Jenkins Ford, &amp; Green,</w:t>
      </w:r>
      <w:r>
        <w:t xml:space="preserve"> </w:t>
      </w:r>
      <w:r>
        <w:rPr>
          <w:iCs/>
          <w:i/>
        </w:rPr>
        <w:t xml:space="preserve">Spreadable Media</w:t>
      </w:r>
      <w:r>
        <w:t xml:space="preserve">, ch. 3:</w:t>
      </w:r>
      <w:r>
        <w:t xml:space="preserve"> </w:t>
      </w:r>
      <w:r>
        <w:t xml:space="preserve">“</w:t>
      </w:r>
      <w:r>
        <w:t xml:space="preserve">The Value of Media Engagement</w:t>
      </w:r>
      <w:r>
        <w:t xml:space="preserve">”</w:t>
      </w:r>
    </w:p>
    <w:p>
      <w:r>
        <w:pict>
          <v:rect style="width:0;height:1.5pt" o:hralign="center" o:hrstd="t" o:hr="t"/>
        </w:pict>
      </w:r>
    </w:p>
    <w:p>
      <w:pPr>
        <w:pStyle w:val="FirstParagraph"/>
      </w:pPr>
      <w:r>
        <w:rPr>
          <w:bCs/>
          <w:b/>
        </w:rPr>
        <w:t xml:space="preserve">Week 5</w:t>
      </w:r>
      <w:r>
        <w:t xml:space="preserve"> </w:t>
      </w:r>
      <w:r>
        <w:t xml:space="preserve">Mon 06/13/22</w:t>
      </w:r>
    </w:p>
    <w:p>
      <w:pPr>
        <w:numPr>
          <w:ilvl w:val="0"/>
          <w:numId w:val="1006"/>
        </w:numPr>
        <w:pStyle w:val="Compact"/>
      </w:pPr>
      <w:r>
        <w:t xml:space="preserve">Frick &amp; Eyler-Werve,</w:t>
      </w:r>
      <w:r>
        <w:t xml:space="preserve"> </w:t>
      </w:r>
      <w:r>
        <w:rPr>
          <w:iCs/>
          <w:i/>
        </w:rPr>
        <w:t xml:space="preserve">Return on Engagement</w:t>
      </w:r>
      <w:r>
        <w:t xml:space="preserve">, ch. 6:</w:t>
      </w:r>
      <w:r>
        <w:t xml:space="preserve"> </w:t>
      </w:r>
      <w:r>
        <w:t xml:space="preserve">“</w:t>
      </w:r>
      <w:r>
        <w:t xml:space="preserve">Writing for the Web</w:t>
      </w:r>
      <w:r>
        <w:t xml:space="preserve">”</w:t>
      </w:r>
      <w:r>
        <w:br/>
      </w:r>
    </w:p>
    <w:p>
      <w:pPr>
        <w:numPr>
          <w:ilvl w:val="0"/>
          <w:numId w:val="1006"/>
        </w:numPr>
        <w:pStyle w:val="Compact"/>
      </w:pPr>
      <w:r>
        <w:t xml:space="preserve">Jenkins Ford, &amp; Green,</w:t>
      </w:r>
      <w:r>
        <w:t xml:space="preserve"> </w:t>
      </w:r>
      <w:r>
        <w:rPr>
          <w:iCs/>
          <w:i/>
        </w:rPr>
        <w:t xml:space="preserve">Spreadable Media</w:t>
      </w:r>
      <w:r>
        <w:t xml:space="preserve">, ch. 4:</w:t>
      </w:r>
      <w:r>
        <w:t xml:space="preserve"> </w:t>
      </w:r>
      <w:r>
        <w:t xml:space="preserve">“</w:t>
      </w:r>
      <w:r>
        <w:t xml:space="preserve">What Constitutes Meaningful Participation?</w:t>
      </w:r>
      <w:r>
        <w:t xml:space="preserve">”</w:t>
      </w:r>
    </w:p>
    <w:p>
      <w:r>
        <w:pict>
          <v:rect style="width:0;height:1.5pt" o:hralign="center" o:hrstd="t" o:hr="t"/>
        </w:pict>
      </w:r>
    </w:p>
    <w:p>
      <w:pPr>
        <w:pStyle w:val="FirstParagraph"/>
      </w:pPr>
      <w:r>
        <w:rPr>
          <w:bCs/>
          <w:b/>
        </w:rPr>
        <w:t xml:space="preserve">Week 6</w:t>
      </w:r>
      <w:r>
        <w:t xml:space="preserve"> </w:t>
      </w:r>
      <w:r>
        <w:t xml:space="preserve">Mon 06/20/22</w:t>
      </w:r>
    </w:p>
    <w:p>
      <w:pPr>
        <w:numPr>
          <w:ilvl w:val="0"/>
          <w:numId w:val="1007"/>
        </w:numPr>
        <w:pStyle w:val="Compact"/>
      </w:pPr>
      <w:r>
        <w:t xml:space="preserve">Frick &amp; Eyler-Werve,</w:t>
      </w:r>
      <w:r>
        <w:t xml:space="preserve"> </w:t>
      </w:r>
      <w:r>
        <w:rPr>
          <w:iCs/>
          <w:i/>
        </w:rPr>
        <w:t xml:space="preserve">Return on Engagement</w:t>
      </w:r>
      <w:r>
        <w:t xml:space="preserve">, chs. 7-8:</w:t>
      </w:r>
      <w:r>
        <w:t xml:space="preserve"> </w:t>
      </w:r>
      <w:r>
        <w:t xml:space="preserve">“</w:t>
      </w:r>
      <w:r>
        <w:t xml:space="preserve">Producing Web Video</w:t>
      </w:r>
      <w:r>
        <w:t xml:space="preserve">”</w:t>
      </w:r>
      <w:r>
        <w:t xml:space="preserve">;</w:t>
      </w:r>
      <w:r>
        <w:t xml:space="preserve">“</w:t>
      </w:r>
      <w:r>
        <w:t xml:space="preserve">Content and Social Networks</w:t>
      </w:r>
      <w:r>
        <w:t xml:space="preserve">”</w:t>
      </w:r>
      <w:r>
        <w:br/>
      </w:r>
    </w:p>
    <w:p>
      <w:pPr>
        <w:numPr>
          <w:ilvl w:val="0"/>
          <w:numId w:val="1007"/>
        </w:numPr>
        <w:pStyle w:val="Compact"/>
      </w:pPr>
      <w:r>
        <w:t xml:space="preserve">Jenkins Ford, &amp; Green,</w:t>
      </w:r>
      <w:r>
        <w:t xml:space="preserve"> </w:t>
      </w:r>
      <w:r>
        <w:rPr>
          <w:iCs/>
          <w:i/>
        </w:rPr>
        <w:t xml:space="preserve">Spreadable Media</w:t>
      </w:r>
      <w:r>
        <w:t xml:space="preserve">, ch. 5:</w:t>
      </w:r>
      <w:r>
        <w:t xml:space="preserve"> </w:t>
      </w:r>
      <w:r>
        <w:t xml:space="preserve">“</w:t>
      </w:r>
      <w:r>
        <w:t xml:space="preserve">Designing for Spreadability</w:t>
      </w:r>
      <w:r>
        <w:t xml:space="preserve">”</w:t>
      </w:r>
    </w:p>
    <w:p>
      <w:r>
        <w:pict>
          <v:rect style="width:0;height:1.5pt" o:hralign="center" o:hrstd="t" o:hr="t"/>
        </w:pict>
      </w:r>
    </w:p>
    <w:p>
      <w:pPr>
        <w:pStyle w:val="FirstParagraph"/>
      </w:pPr>
      <w:r>
        <w:rPr>
          <w:bCs/>
          <w:b/>
        </w:rPr>
        <w:t xml:space="preserve">Week 7</w:t>
      </w:r>
      <w:r>
        <w:t xml:space="preserve"> </w:t>
      </w:r>
      <w:r>
        <w:t xml:space="preserve">Mon 06/27/22</w:t>
      </w:r>
    </w:p>
    <w:p>
      <w:pPr>
        <w:numPr>
          <w:ilvl w:val="0"/>
          <w:numId w:val="1008"/>
        </w:numPr>
        <w:pStyle w:val="Compact"/>
      </w:pPr>
      <w:r>
        <w:t xml:space="preserve">Jenkins Ford, &amp; Green,</w:t>
      </w:r>
      <w:r>
        <w:t xml:space="preserve"> </w:t>
      </w:r>
      <w:r>
        <w:rPr>
          <w:iCs/>
          <w:i/>
        </w:rPr>
        <w:t xml:space="preserve">Spreadable Media</w:t>
      </w:r>
      <w:r>
        <w:t xml:space="preserve">, ch. 6:</w:t>
      </w:r>
      <w:r>
        <w:t xml:space="preserve"> </w:t>
      </w:r>
      <w:r>
        <w:t xml:space="preserve">“</w:t>
      </w:r>
      <w:r>
        <w:t xml:space="preserve">Courting Supporters for Independent Media</w:t>
      </w:r>
      <w:r>
        <w:t xml:space="preserve">”</w:t>
      </w:r>
    </w:p>
    <w:p>
      <w:pPr>
        <w:numPr>
          <w:ilvl w:val="0"/>
          <w:numId w:val="1008"/>
        </w:numPr>
        <w:pStyle w:val="Compact"/>
      </w:pPr>
      <w:r>
        <w:t xml:space="preserve">Frick &amp; Eyler-Werve,</w:t>
      </w:r>
      <w:r>
        <w:t xml:space="preserve"> </w:t>
      </w:r>
      <w:r>
        <w:rPr>
          <w:iCs/>
          <w:i/>
        </w:rPr>
        <w:t xml:space="preserve">Return on Engagement</w:t>
      </w:r>
      <w:r>
        <w:t xml:space="preserve">, chs. 9-10:</w:t>
      </w:r>
      <w:r>
        <w:t xml:space="preserve"> </w:t>
      </w:r>
      <w:r>
        <w:t xml:space="preserve">“</w:t>
      </w:r>
      <w:r>
        <w:t xml:space="preserve">Creating Usable Designs</w:t>
      </w:r>
      <w:r>
        <w:t xml:space="preserve">”</w:t>
      </w:r>
      <w:r>
        <w:t xml:space="preserve">;</w:t>
      </w:r>
      <w:r>
        <w:t xml:space="preserve"> </w:t>
      </w:r>
      <w:r>
        <w:t xml:space="preserve">“</w:t>
      </w:r>
      <w:r>
        <w:t xml:space="preserve">Climate Ride’s Pedal Power</w:t>
      </w:r>
      <w:r>
        <w:t xml:space="preserve">”</w:t>
      </w:r>
    </w:p>
    <w:p>
      <w:r>
        <w:pict>
          <v:rect style="width:0;height:1.5pt" o:hralign="center" o:hrstd="t" o:hr="t"/>
        </w:pict>
      </w:r>
    </w:p>
    <w:bookmarkEnd w:id="27"/>
    <w:bookmarkStart w:id="28" w:name="assignments"/>
    <w:p>
      <w:pPr>
        <w:pStyle w:val="Heading2"/>
      </w:pPr>
      <w:r>
        <w:t xml:space="preserve">ASSIGNMENTS</w:t>
      </w:r>
    </w:p>
    <w:p>
      <w:pPr>
        <w:pStyle w:val="FirstParagraph"/>
      </w:pPr>
      <w:r>
        <w:rPr>
          <w:bCs/>
          <w:b/>
        </w:rPr>
        <w:t xml:space="preserve">Discussion Forums</w:t>
      </w:r>
      <w:r>
        <w:t xml:space="preserve"> </w:t>
      </w:r>
      <w:r>
        <w:t xml:space="preserve">(25%)</w:t>
      </w:r>
      <w:r>
        <w:br/>
      </w:r>
      <w:r>
        <w:t xml:space="preserve">When due: every Friday by the end of the day</w:t>
      </w:r>
    </w:p>
    <w:p>
      <w:pPr>
        <w:pStyle w:val="BodyText"/>
      </w:pPr>
      <w:r>
        <w:t xml:space="preserve">You will craft discussion questions prompted by your understanding of the course materials, as well as leading us into a greater understanding and application of the work. Grading will be based on comprehension of the materials, successful and creative application of the work, and the quality of the questions and discussion generated by your work. Write at least one discussion question illustrating your knowledge of the material, and comment on your classmates’ materials too. Note: the best questions will summarize the readings at the beginning and then ask smart questions. This way you will make sure you are providing a cover of all applicable material for these writers.</w:t>
      </w:r>
    </w:p>
    <w:p>
      <w:pPr>
        <w:pStyle w:val="BodyText"/>
      </w:pPr>
      <w:r>
        <w:rPr>
          <w:bCs/>
          <w:b/>
        </w:rPr>
        <w:t xml:space="preserve">Content Framework: Goals &amp; Plan</w:t>
      </w:r>
      <w:r>
        <w:t xml:space="preserve"> </w:t>
      </w:r>
      <w:r>
        <w:t xml:space="preserve">(20%)</w:t>
      </w:r>
      <w:r>
        <w:br/>
      </w:r>
      <w:r>
        <w:t xml:space="preserve">Using the content framework format described in chapter 1 of the</w:t>
      </w:r>
      <w:r>
        <w:t xml:space="preserve"> </w:t>
      </w:r>
      <w:r>
        <w:rPr>
          <w:iCs/>
          <w:i/>
        </w:rPr>
        <w:t xml:space="preserve">Return on Engagement textbook</w:t>
      </w:r>
      <w:r>
        <w:t xml:space="preserve"> </w:t>
      </w:r>
      <w:r>
        <w:t xml:space="preserve">as a guide, develop a content strategy for an account or platform of your choice. Grading will be based on utilization of readings and social media planning. Complete the assigned forms and discuss your plans with me during Week Two, with the final version due by the end of Week Three.</w:t>
      </w:r>
    </w:p>
    <w:p>
      <w:pPr>
        <w:pStyle w:val="BodyText"/>
      </w:pPr>
      <w:r>
        <w:t xml:space="preserve">Part One: Due in Week Two</w:t>
      </w:r>
      <w:r>
        <w:br/>
      </w:r>
      <w:r>
        <w:t xml:space="preserve">Part Two (Write-up): Due in Week Three</w:t>
      </w:r>
    </w:p>
    <w:p>
      <w:pPr>
        <w:pStyle w:val="BodyText"/>
      </w:pPr>
      <w:r>
        <w:rPr>
          <w:bCs/>
          <w:b/>
        </w:rPr>
        <w:t xml:space="preserve">Research Paper</w:t>
      </w:r>
      <w:r>
        <w:t xml:space="preserve"> </w:t>
      </w:r>
      <w:r>
        <w:t xml:space="preserve">(25%)</w:t>
      </w:r>
      <w:r>
        <w:br/>
      </w:r>
      <w:r>
        <w:t xml:space="preserve">Due in Week Five</w:t>
      </w:r>
    </w:p>
    <w:p>
      <w:pPr>
        <w:pStyle w:val="BodyText"/>
      </w:pPr>
      <w:r>
        <w:t xml:space="preserve">Required length: 1,000-1,500 words, excluding bibliography page in Chicago citation format (which should also be used for in-text citations).</w:t>
      </w:r>
    </w:p>
    <w:p>
      <w:pPr>
        <w:pStyle w:val="BodyText"/>
      </w:pPr>
      <w:r>
        <w:t xml:space="preserve">Using the concept of convergence as described by Jenkins et al., describe a business that has successfully incorporated social media into their business plan. (NB: you may not use any of the actual businesses or organizations cited in Jenkins’s book; use more recent organizations.) Use at least 2-3 different sources from in-class readings and out-of-class materials to support your claims. What are the reasons that this business has survived in the ever-changing media environment? Describe the production of culture for this company or organization, and explain how it has translated into 21st-century values. You should also use other applicable theoretical lenses to explain how this business has moved forward. I will be happy to hold one-on-one conferences to discuss ideas for case studies.</w:t>
      </w:r>
    </w:p>
    <w:p>
      <w:pPr>
        <w:pStyle w:val="BodyText"/>
      </w:pPr>
      <w:r>
        <w:rPr>
          <w:bCs/>
          <w:b/>
        </w:rPr>
        <w:t xml:space="preserve">Final Project</w:t>
      </w:r>
      <w:r>
        <w:t xml:space="preserve"> </w:t>
      </w:r>
      <w:r>
        <w:t xml:space="preserve">(30%)</w:t>
      </w:r>
      <w:r>
        <w:br/>
      </w:r>
      <w:r>
        <w:t xml:space="preserve">Due Monday 4 July.</w:t>
      </w:r>
    </w:p>
    <w:p>
      <w:pPr>
        <w:pStyle w:val="BodyText"/>
      </w:pPr>
      <w:r>
        <w:t xml:space="preserve">2,000–2,500 words, excluding references (Chicago citation style, in-text and separate reference page). Develop a strategy for integrating social media into your own work, either as an individual or for the company that you work for. This strategy should explicitly try to connect theory with practice. What reading assignments support the decisions you make? What theoretical concepts are you bringing into your work as a result of the choices you make, and how will that affect your potential friends, followers, and customers in both the online and embodied world? What is the production of culture as you see it playing out in your choices? How have each of your assignments helped you reach this point where you are ready to apply a theoretical lens to a practical decision or set of decisions? What practical lessons are you using with the Frick &amp; Eyler-Werve text? By explaining how your work reflects your knowledge, you are displaying your portfolio to an employer and making a practical connection between theory and application. This project is the culmination of all your knowledge in this area, so make sure it is truly representative of your final output.</w:t>
      </w:r>
    </w:p>
    <w:p>
      <w:r>
        <w:pict>
          <v:rect style="width:0;height:1.5pt" o:hralign="center" o:hrstd="t" o:hr="t"/>
        </w:pict>
      </w:r>
    </w:p>
    <w:bookmarkEnd w:id="28"/>
    <w:bookmarkStart w:id="29" w:name="late-policy"/>
    <w:p>
      <w:pPr>
        <w:pStyle w:val="Heading2"/>
      </w:pPr>
      <w:r>
        <w:t xml:space="preserve">LATE POLICY</w:t>
      </w:r>
    </w:p>
    <w:p>
      <w:pPr>
        <w:pStyle w:val="FirstParagraph"/>
      </w:pPr>
      <w:r>
        <w:t xml:space="preserve">Assignments submitted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please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29"/>
    <w:bookmarkStart w:id="31"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3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31"/>
    <w:bookmarkStart w:id="36" w:name="wellness"/>
    <w:p>
      <w:pPr>
        <w:pStyle w:val="Heading2"/>
      </w:pPr>
      <w:r>
        <w:t xml:space="preserve">WELLNESS</w:t>
      </w:r>
    </w:p>
    <w:p>
      <w:pPr>
        <w:pStyle w:val="FirstParagraph"/>
      </w:pPr>
      <w:hyperlink r:id="rId32">
        <w:r>
          <w:rPr>
            <w:rStyle w:val="Hyperlink"/>
          </w:rPr>
          <w:t xml:space="preserve">Health Services</w:t>
        </w:r>
      </w:hyperlink>
    </w:p>
    <w:p>
      <w:pPr>
        <w:pStyle w:val="BodyText"/>
      </w:pPr>
      <w:r>
        <w:t xml:space="preserve">Hours: Monday-Friday 8:30AM-5PM</w:t>
      </w:r>
      <w:r>
        <w:t xml:space="preserve"> </w:t>
      </w:r>
      <w:r>
        <w:t xml:space="preserve">Location: Ground Level of Russell Towers (across from the entrance of Holmes Dining Hall) Phone: (978) 665-3643/3894</w:t>
      </w:r>
    </w:p>
    <w:p>
      <w:pPr>
        <w:pStyle w:val="BodyText"/>
      </w:pPr>
      <w:hyperlink r:id="rId3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3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3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bCs/>
          <w:b/>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36"/>
    <w:bookmarkStart w:id="39" w:name="academic-integrity"/>
    <w:p>
      <w:pPr>
        <w:pStyle w:val="Heading2"/>
      </w:pPr>
      <w:r>
        <w:t xml:space="preserve">ACADEMIC INTEGRITY</w:t>
      </w:r>
    </w:p>
    <w:p>
      <w:pPr>
        <w:pStyle w:val="FirstParagraph"/>
      </w:pPr>
      <w:r>
        <w:t xml:space="preserve">You are strongly encouraged to consult the University’s</w:t>
      </w:r>
      <w:r>
        <w:t xml:space="preserve"> </w:t>
      </w:r>
      <w:hyperlink r:id="rId37">
        <w:r>
          <w:rPr>
            <w:rStyle w:val="Hyperlink"/>
          </w:rPr>
          <w:t xml:space="preserve">Academic Integrity Policy</w:t>
        </w:r>
      </w:hyperlink>
      <w:r>
        <w:t xml:space="preserve">. 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w:t>
      </w:r>
    </w:p>
    <w:p>
      <w:pPr>
        <w:numPr>
          <w:ilvl w:val="0"/>
          <w:numId w:val="1009"/>
        </w:numPr>
        <w:pStyle w:val="Compact"/>
      </w:pPr>
      <w:r>
        <w:t xml:space="preserve">Using papers or work from another class.</w:t>
      </w:r>
    </w:p>
    <w:p>
      <w:pPr>
        <w:numPr>
          <w:ilvl w:val="0"/>
          <w:numId w:val="1009"/>
        </w:numPr>
        <w:pStyle w:val="Compact"/>
      </w:pPr>
      <w:r>
        <w:t xml:space="preserve">Using another student’s paper or work from any class.</w:t>
      </w:r>
    </w:p>
    <w:p>
      <w:pPr>
        <w:numPr>
          <w:ilvl w:val="0"/>
          <w:numId w:val="1009"/>
        </w:numPr>
        <w:pStyle w:val="Compact"/>
      </w:pPr>
      <w:r>
        <w:t xml:space="preserve">Copying work or a paper from the Internet.</w:t>
      </w:r>
    </w:p>
    <w:p>
      <w:pPr>
        <w:numPr>
          <w:ilvl w:val="0"/>
          <w:numId w:val="1009"/>
        </w:numPr>
        <w:pStyle w:val="Compact"/>
      </w:pPr>
      <w:r>
        <w:t xml:space="preserve">The egregious lack of citing sources or documenting research.</w:t>
      </w:r>
    </w:p>
    <w:p>
      <w:pPr>
        <w:pStyle w:val="FirstParagraph"/>
      </w:pPr>
      <w:r>
        <w:rPr>
          <w:iCs/>
          <w:i/>
        </w:rPr>
        <w:t xml:space="preserve">If you’re not clear on what is or is not plagiarism, ASK. The BEST case scenario if caught is a zero on that assignment, and ignorance of what does or does not count is not an excuse. That being said, I’m a strong proponent of the concept of</w:t>
      </w:r>
      <w:r>
        <w:rPr>
          <w:iCs/>
          <w:i/>
        </w:rPr>
        <w:t xml:space="preserve"> </w:t>
      </w:r>
      <w:hyperlink r:id="rId38">
        <w:r>
          <w:rPr>
            <w:rStyle w:val="Hyperlink"/>
            <w:iCs/>
            <w:i/>
          </w:rPr>
          <w:t xml:space="preserve">Fair Use</w:t>
        </w:r>
      </w:hyperlink>
      <w:r>
        <w:rPr>
          <w:iCs/>
          <w:i/>
        </w:rPr>
        <w:t xml:space="preserve">. Just attribute what you use–and, again, ASK if there’s any doubt.</w:t>
      </w:r>
    </w:p>
    <w:p>
      <w:r>
        <w:pict>
          <v:rect style="width:0;height:1.5pt" o:hralign="center" o:hrstd="t" o:hr="t"/>
        </w:pict>
      </w:r>
    </w:p>
    <w:bookmarkEnd w:id="39"/>
    <w:bookmarkStart w:id="40"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40"/>
    <w:bookmarkStart w:id="41"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emergencies. Technology problems are not excuses for unfinished or late work. Bad things may happen, but you can protect yourself by doing the following:</w:t>
      </w:r>
    </w:p>
    <w:p>
      <w:pPr>
        <w:numPr>
          <w:ilvl w:val="0"/>
          <w:numId w:val="1010"/>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0"/>
        </w:numPr>
      </w:pPr>
      <w:r>
        <w:t xml:space="preserve">Save work early and often: Think how much work you do in 10 minutes.</w:t>
      </w:r>
    </w:p>
    <w:p>
      <w:pPr>
        <w:numPr>
          <w:ilvl w:val="0"/>
          <w:numId w:val="1010"/>
        </w:numPr>
      </w:pPr>
      <w:r>
        <w:t xml:space="preserve">Make regular backups of files in a different location: Between Box, Google Drive, Dropbox, and iCloud, you have ample places to store and backup your materials. Use them.</w:t>
      </w:r>
    </w:p>
    <w:p>
      <w:pPr>
        <w:numPr>
          <w:ilvl w:val="0"/>
          <w:numId w:val="1010"/>
        </w:numPr>
      </w:pPr>
      <w:r>
        <w:t xml:space="preserve">Save drafts: When editing, set aside the original and work with a copy.</w:t>
      </w:r>
    </w:p>
    <w:p>
      <w:pPr>
        <w:numPr>
          <w:ilvl w:val="0"/>
          <w:numId w:val="1010"/>
        </w:numPr>
      </w:pPr>
      <w:r>
        <w:t xml:space="preserve">Practice safe computing: On your personal devices, install and use software to control viruses and malware.</w:t>
      </w:r>
    </w:p>
    <w:p>
      <w:r>
        <w:pict>
          <v:rect style="width:0;height:1.5pt" o:hralign="center" o:hrstd="t" o:hr="t"/>
        </w:pict>
      </w:r>
    </w:p>
    <w:bookmarkEnd w:id="41"/>
    <w:bookmarkStart w:id="42"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A: 95-100</w:t>
      </w:r>
      <w:r>
        <w:br/>
      </w:r>
      <w:r>
        <w:t xml:space="preserve">A-: 92-94</w:t>
      </w:r>
      <w:r>
        <w:br/>
      </w:r>
      <w:r>
        <w:t xml:space="preserve">B+: 89-91</w:t>
      </w:r>
      <w:r>
        <w:br/>
      </w:r>
      <w:r>
        <w:t xml:space="preserve">B: 86-88</w:t>
      </w:r>
      <w:r>
        <w:br/>
      </w:r>
      <w:r>
        <w:t xml:space="preserve">B-: 83-85</w:t>
      </w:r>
      <w:r>
        <w:br/>
      </w:r>
      <w:r>
        <w:t xml:space="preserve">C+: 80-82</w:t>
      </w:r>
      <w:r>
        <w:br/>
      </w:r>
      <w:r>
        <w:t xml:space="preserve">C: 77-79</w:t>
      </w:r>
      <w:r>
        <w:br/>
      </w:r>
      <w:r>
        <w:t xml:space="preserve">C-: 74-76</w:t>
      </w:r>
      <w:r>
        <w:br/>
      </w:r>
      <w:r>
        <w:t xml:space="preserve">D+: 71-73</w:t>
      </w:r>
      <w:r>
        <w:br/>
      </w:r>
      <w:r>
        <w:t xml:space="preserve">0.0: &lt; 70</w:t>
      </w:r>
    </w:p>
    <w:p>
      <w:r>
        <w:pict>
          <v:rect style="width:0;height:1.5pt" o:hralign="center" o:hrstd="t" o:hr="t"/>
        </w:pict>
      </w:r>
    </w:p>
    <w:bookmarkEnd w:id="42"/>
    <w:bookmarkStart w:id="48" w:name="academic-resources"/>
    <w:p>
      <w:pPr>
        <w:pStyle w:val="Heading2"/>
      </w:pPr>
      <w:r>
        <w:t xml:space="preserve">ACADEMIC RESOURCES</w:t>
      </w:r>
    </w:p>
    <w:p>
      <w:pPr>
        <w:pStyle w:val="FirstParagraph"/>
      </w:pPr>
      <w:hyperlink r:id="rId43">
        <w:r>
          <w:rPr>
            <w:rStyle w:val="Hyperlink"/>
          </w:rPr>
          <w:t xml:space="preserve">Writing Center</w:t>
        </w:r>
      </w:hyperlink>
    </w:p>
    <w:p>
      <w:pPr>
        <w:pStyle w:val="BodyText"/>
      </w:pPr>
      <w:hyperlink r:id="rId44">
        <w:r>
          <w:rPr>
            <w:rStyle w:val="Hyperlink"/>
          </w:rPr>
          <w:t xml:space="preserve">Academic Policies</w:t>
        </w:r>
      </w:hyperlink>
    </w:p>
    <w:p>
      <w:pPr>
        <w:pStyle w:val="BodyText"/>
      </w:pPr>
      <w:hyperlink r:id="rId45">
        <w:r>
          <w:rPr>
            <w:rStyle w:val="Hyperlink"/>
          </w:rPr>
          <w:t xml:space="preserve">Disability Services</w:t>
        </w:r>
      </w:hyperlink>
    </w:p>
    <w:p>
      <w:pPr>
        <w:pStyle w:val="BodyText"/>
      </w:pPr>
      <w:hyperlink r:id="rId46">
        <w:r>
          <w:rPr>
            <w:rStyle w:val="Hyperlink"/>
          </w:rPr>
          <w:t xml:space="preserve">Fitchburg State Alert system for emergencies, snow closures/delays, and faculty absences</w:t>
        </w:r>
      </w:hyperlink>
    </w:p>
    <w:p>
      <w:pPr>
        <w:pStyle w:val="BodyText"/>
      </w:pPr>
      <w:hyperlink r:id="rId47">
        <w:r>
          <w:rPr>
            <w:rStyle w:val="Hyperlink"/>
          </w:rPr>
          <w:t xml:space="preserve">University Career Services</w:t>
        </w:r>
      </w:hyperlink>
    </w:p>
    <w:p>
      <w:r>
        <w:pict>
          <v:rect style="width:0;height:1.5pt" o:hralign="center" o:hrstd="t" o:hr="t"/>
        </w:pic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catalog.fitchburgstate.edu/content.php?catoid=13&amp;navoid=851" TargetMode="External" /><Relationship Type="http://schemas.openxmlformats.org/officeDocument/2006/relationships/hyperlink" Id="rId30" Target="http://fitchburgstate.edu/titleix" TargetMode="External" /><Relationship Type="http://schemas.openxmlformats.org/officeDocument/2006/relationships/hyperlink" Id="rId47" Target="http://www.fitchburgstate.edu/offices-services-directory/career-counseling-and-advising/career-services/" TargetMode="External" /><Relationship Type="http://schemas.openxmlformats.org/officeDocument/2006/relationships/hyperlink" Id="rId45" Target="http://www.fitchburgstate.edu/offices-services-directory/disability-services/" TargetMode="External" /><Relationship Type="http://schemas.openxmlformats.org/officeDocument/2006/relationships/hyperlink" Id="rId37" Target="http://www.fitchburgstate.edu/offices-services-directory/office-of-student-conduct-mediation-education/academic-integrity/" TargetMode="External" /><Relationship Type="http://schemas.openxmlformats.org/officeDocument/2006/relationships/hyperlink" Id="rId43" Target="http://www.fitchburgstate.edu/offices-services-directory/tutor-center/writing-help/" TargetMode="External" /><Relationship Type="http://schemas.openxmlformats.org/officeDocument/2006/relationships/hyperlink" Id="rId33" Target="http://www.google.com/url?q=http%3A%2F%2Fwww.fitchburgstate.edu%2Foffices-services-directory%2Fcounseling-services%2F&amp;sa=D&amp;sntz=1&amp;usg=AFQjCNEYiS4EmSvWerpp2bKr5lTpouPuqQ" TargetMode="External" /><Relationship Type="http://schemas.openxmlformats.org/officeDocument/2006/relationships/hyperlink" Id="rId3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3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2" Target="http://www.google.com/url?q=http%3A%2F%2Fwww.fitchburgstate.edu%2Foffices-services-directory%2Fhealth-services%2F&amp;sa=D&amp;sntz=1&amp;usg=AFQjCNEw5V0i0hL5DVO5b43gejNNaAt4ig" TargetMode="External" /><Relationship Type="http://schemas.openxmlformats.org/officeDocument/2006/relationships/hyperlink" Id="rId38" Target="https://en.wikipedia.org/wiki/Fair_Use" TargetMode="External" /><Relationship Type="http://schemas.openxmlformats.org/officeDocument/2006/relationships/hyperlink" Id="rId25" Target="https://github.com/mroberts1/integrated-social-media-summer-2022" TargetMode="External" /><Relationship Type="http://schemas.openxmlformats.org/officeDocument/2006/relationships/hyperlink" Id="rId46" Target="https://www.getrave.com/login/fitchburgstate/" TargetMode="External" /><Relationship Type="http://schemas.openxmlformats.org/officeDocument/2006/relationships/hyperlink" Id="rId20"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44" Target="http://catalog.fitchburgstate.edu/content.php?catoid=13&amp;navoid=851" TargetMode="External" /><Relationship Type="http://schemas.openxmlformats.org/officeDocument/2006/relationships/hyperlink" Id="rId30" Target="http://fitchburgstate.edu/titleix" TargetMode="External" /><Relationship Type="http://schemas.openxmlformats.org/officeDocument/2006/relationships/hyperlink" Id="rId47" Target="http://www.fitchburgstate.edu/offices-services-directory/career-counseling-and-advising/career-services/" TargetMode="External" /><Relationship Type="http://schemas.openxmlformats.org/officeDocument/2006/relationships/hyperlink" Id="rId45" Target="http://www.fitchburgstate.edu/offices-services-directory/disability-services/" TargetMode="External" /><Relationship Type="http://schemas.openxmlformats.org/officeDocument/2006/relationships/hyperlink" Id="rId37" Target="http://www.fitchburgstate.edu/offices-services-directory/office-of-student-conduct-mediation-education/academic-integrity/" TargetMode="External" /><Relationship Type="http://schemas.openxmlformats.org/officeDocument/2006/relationships/hyperlink" Id="rId43" Target="http://www.fitchburgstate.edu/offices-services-directory/tutor-center/writing-help/" TargetMode="External" /><Relationship Type="http://schemas.openxmlformats.org/officeDocument/2006/relationships/hyperlink" Id="rId33" Target="http://www.google.com/url?q=http%3A%2F%2Fwww.fitchburgstate.edu%2Foffices-services-directory%2Fcounseling-services%2F&amp;sa=D&amp;sntz=1&amp;usg=AFQjCNEYiS4EmSvWerpp2bKr5lTpouPuqQ" TargetMode="External" /><Relationship Type="http://schemas.openxmlformats.org/officeDocument/2006/relationships/hyperlink" Id="rId3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3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32" Target="http://www.google.com/url?q=http%3A%2F%2Fwww.fitchburgstate.edu%2Foffices-services-directory%2Fhealth-services%2F&amp;sa=D&amp;sntz=1&amp;usg=AFQjCNEw5V0i0hL5DVO5b43gejNNaAt4ig" TargetMode="External" /><Relationship Type="http://schemas.openxmlformats.org/officeDocument/2006/relationships/hyperlink" Id="rId38" Target="https://en.wikipedia.org/wiki/Fair_Use" TargetMode="External" /><Relationship Type="http://schemas.openxmlformats.org/officeDocument/2006/relationships/hyperlink" Id="rId25" Target="https://github.com/mroberts1/integrated-social-media-summer-2022" TargetMode="External" /><Relationship Type="http://schemas.openxmlformats.org/officeDocument/2006/relationships/hyperlink" Id="rId46" Target="https://www.getrave.com/login/fitchburgstate/" TargetMode="External" /><Relationship Type="http://schemas.openxmlformats.org/officeDocument/2006/relationships/hyperlink" Id="rId20"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Roberts</dc:creator>
  <cp:keywords/>
  <dcterms:created xsi:type="dcterms:W3CDTF">2022-05-16T04:48:19Z</dcterms:created>
  <dcterms:modified xsi:type="dcterms:W3CDTF">2022-05-16T04:48:19Z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2022-05-16</vt:lpwstr>
  </property>
  <property fmtid="{D5CDD505-2E9C-101B-9397-08002B2CF9AE}" pid="3" name="link-citations">
    <vt:lpwstr>True</vt:lpwstr>
  </property>
  <property fmtid="{D5CDD505-2E9C-101B-9397-08002B2CF9AE}" pid="4" name="output">
    <vt:lpwstr/>
  </property>
  <property fmtid="{D5CDD505-2E9C-101B-9397-08002B2CF9AE}" pid="5" name="runningheader">
    <vt:lpwstr>COMM 8021 Integrated Social Media</vt:lpwstr>
  </property>
  <property fmtid="{D5CDD505-2E9C-101B-9397-08002B2CF9AE}" pid="6" name="subtitle">
    <vt:lpwstr/>
  </property>
</Properties>
</file>