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Emily Weinstein and Carrie James,</w:t>
      </w:r>
      <w:r>
        <w:t xml:space="preserve"> </w:t>
      </w:r>
      <w:r>
        <w:rPr>
          <w:iCs/>
          <w:i/>
        </w:rPr>
        <w:t xml:space="preserve">Behind Their Screens</w:t>
      </w:r>
      <w:r>
        <w:t xml:space="preserve">: ch. 2,</w:t>
      </w:r>
      <w:r>
        <w:t xml:space="preserve"> </w:t>
      </w:r>
      <w:r>
        <w:t xml:space="preserve">“</w:t>
      </w:r>
      <w:r>
        <w:t xml:space="preserve">The Pull of the Screen</w:t>
      </w:r>
      <w:r>
        <w:t xml:space="preserve">”</w:t>
      </w:r>
    </w:p>
    <w:p>
      <w:pPr>
        <w:numPr>
          <w:ilvl w:val="0"/>
          <w:numId w:val="1008"/>
        </w:numPr>
        <w:pStyle w:val="Compact"/>
      </w:pPr>
      <w:r>
        <w:t xml:space="preserve">Adrian Hon,</w:t>
      </w:r>
      <w:r>
        <w:t xml:space="preserve"> </w:t>
      </w:r>
      <w:r>
        <w:rPr>
          <w:iCs/>
          <w:i/>
        </w:rPr>
        <w:t xml:space="preserve">You’ve Been Played</w:t>
      </w:r>
      <w:r>
        <w:t xml:space="preserve">: Introduction (</w:t>
      </w:r>
      <w:r>
        <w:t xml:space="preserve">“</w:t>
      </w:r>
      <w:r>
        <w:t xml:space="preserve">Technology</w:t>
      </w:r>
      <w:r>
        <w:t xml:space="preserve">”</w:t>
      </w:r>
      <w:r>
        <w:t xml:space="preserve"> </w:t>
      </w:r>
      <w:r>
        <w:t xml:space="preserve">section)</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pPr>
        <w:pStyle w:val="FirstParagraph"/>
      </w:pPr>
      <w:r>
        <w:t xml:space="preserve">See also: Noam Chomsky,</w:t>
      </w:r>
      <w:r>
        <w:t xml:space="preserve"> </w:t>
      </w:r>
      <w:r>
        <w:t xml:space="preserve">“</w:t>
      </w:r>
      <w:r>
        <w:t xml:space="preserve">Review:</w:t>
      </w:r>
      <w:r>
        <w:t xml:space="preserve"> </w:t>
      </w:r>
      <w:r>
        <w:rPr>
          <w:iCs/>
          <w:i/>
        </w:rPr>
        <w:t xml:space="preserve">Verbal Behavior</w:t>
      </w:r>
      <w:r>
        <w:t xml:space="preserve">, B.F. Skinner</w:t>
      </w:r>
      <w:r>
        <w:t xml:space="preserve">”</w:t>
      </w:r>
      <w:r>
        <w:t xml:space="preserve"> </w:t>
      </w:r>
      <w:r>
        <w:t xml:space="preserve">(1959)</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 Networks</w:t>
      </w:r>
    </w:p>
    <w:p>
      <w:pPr>
        <w:numPr>
          <w:ilvl w:val="0"/>
          <w:numId w:val="1010"/>
        </w:numPr>
        <w:pStyle w:val="Compact"/>
      </w:pPr>
      <w:r>
        <w:t xml:space="preserve">Cathy O’Neil,</w:t>
      </w:r>
      <w:r>
        <w:t xml:space="preserve"> </w:t>
      </w:r>
      <w:r>
        <w:rPr>
          <w:iCs/>
          <w:i/>
        </w:rPr>
        <w:t xml:space="preserve">The Shame Machine</w:t>
      </w:r>
      <w:r>
        <w:t xml:space="preserve">, chs. 5-6:</w:t>
      </w:r>
      <w:r>
        <w:t xml:space="preserve"> </w:t>
      </w:r>
      <w:r>
        <w:t xml:space="preserve">“</w:t>
      </w:r>
      <w:r>
        <w:t xml:space="preserve">Click on Conflict</w:t>
      </w:r>
      <w:r>
        <w:t xml:space="preserve">”</w:t>
      </w:r>
      <w:r>
        <w:t xml:space="preserve">;</w:t>
      </w:r>
      <w:r>
        <w:t xml:space="preserve"> </w:t>
      </w:r>
      <w:r>
        <w:t xml:space="preserve">“</w:t>
      </w:r>
      <w:r>
        <w:t xml:space="preserve">Humiliation and Defiance</w:t>
      </w:r>
      <w:r>
        <w:t xml:space="preserve">”</w:t>
      </w:r>
    </w:p>
    <w:p>
      <w:pPr>
        <w:numPr>
          <w:ilvl w:val="0"/>
          <w:numId w:val="1010"/>
        </w:numPr>
        <w:pStyle w:val="Compact"/>
      </w:pPr>
      <w:r>
        <w:t xml:space="preserve">Byung-Chul Han,</w:t>
      </w:r>
      <w:r>
        <w:t xml:space="preserve"> </w:t>
      </w:r>
      <w:r>
        <w:rPr>
          <w:iCs/>
          <w:i/>
        </w:rPr>
        <w:t xml:space="preserve">In The Swarm: Digital Prospects</w:t>
      </w:r>
      <w:r>
        <w:t xml:space="preserve">, chs. 1-3:</w:t>
      </w:r>
      <w:r>
        <w:t xml:space="preserve"> </w:t>
      </w:r>
      <w:r>
        <w:t xml:space="preserve">“</w:t>
      </w:r>
      <w:r>
        <w:t xml:space="preserve">No Respect</w:t>
      </w:r>
      <w:r>
        <w:t xml:space="preserve">”</w:t>
      </w:r>
      <w:r>
        <w:t xml:space="preserve">;</w:t>
      </w:r>
      <w:r>
        <w:t xml:space="preserve"> </w:t>
      </w:r>
      <w:r>
        <w:t xml:space="preserve">“</w:t>
      </w:r>
      <w:r>
        <w:t xml:space="preserve">Outrage Society</w:t>
      </w:r>
      <w:r>
        <w:t xml:space="preserve">”</w:t>
      </w:r>
      <w:r>
        <w:t xml:space="preserve">;</w:t>
      </w:r>
      <w:r>
        <w:t xml:space="preserve"> </w:t>
      </w:r>
      <w:r>
        <w:t xml:space="preserve">“</w:t>
      </w:r>
      <w:r>
        <w:t xml:space="preserve">In The Swarm</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You Are Here</w:t>
      </w:r>
    </w:p>
    <w:p>
      <w:pPr>
        <w:pStyle w:val="BodyText"/>
      </w:pPr>
      <w:r>
        <w:t xml:space="preserve">Ryan Milner and Whitney Phillips,</w:t>
      </w:r>
      <w:r>
        <w:t xml:space="preserve"> </w:t>
      </w:r>
      <w:r>
        <w:rPr>
          <w:iCs/>
          <w:i/>
        </w:rPr>
        <w:t xml:space="preserve">You Are Here</w:t>
      </w:r>
    </w:p>
    <w:p>
      <w:pPr>
        <w:numPr>
          <w:ilvl w:val="0"/>
          <w:numId w:val="1011"/>
        </w:numPr>
        <w:pStyle w:val="Compact"/>
      </w:pPr>
      <w:r>
        <w:t xml:space="preserve">ch. 5:</w:t>
      </w:r>
      <w:r>
        <w:t xml:space="preserve"> </w:t>
      </w:r>
      <w:r>
        <w:t xml:space="preserve">“</w:t>
      </w:r>
      <w:r>
        <w:t xml:space="preserve">Cultivating Ecological Literacy</w:t>
      </w:r>
      <w:r>
        <w:t xml:space="preserve">”</w:t>
      </w:r>
      <w:r>
        <w:t xml:space="preserve"> </w:t>
      </w:r>
      <w:r>
        <w:t xml:space="preserve">(skip opening section in italics)</w:t>
      </w:r>
    </w:p>
    <w:p>
      <w:pPr>
        <w:numPr>
          <w:ilvl w:val="0"/>
          <w:numId w:val="1011"/>
        </w:numPr>
        <w:pStyle w:val="Compact"/>
      </w:pPr>
      <w:r>
        <w:t xml:space="preserve">ch. 6:</w:t>
      </w:r>
      <w:r>
        <w:t xml:space="preserve"> </w:t>
      </w:r>
      <w:r>
        <w:t xml:space="preserve">“</w:t>
      </w:r>
      <w:r>
        <w:t xml:space="preserve">Choose Your Own Ethics Adventure</w:t>
      </w:r>
      <w:r>
        <w:t xml:space="preserve">”</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2"/>
        </w:numPr>
        <w:pStyle w:val="Compact"/>
      </w:pPr>
      <w:r>
        <w:rPr>
          <w:bCs/>
          <w:b/>
        </w:rPr>
        <w:t xml:space="preserve">Reading Response</w:t>
      </w:r>
      <w:r>
        <w:t xml:space="preserve">: 7, weekly from Week 1, one short post responding to readings, 250 words approx., due on Friday each week (20%)</w:t>
      </w:r>
    </w:p>
    <w:p>
      <w:pPr>
        <w:numPr>
          <w:ilvl w:val="0"/>
          <w:numId w:val="1012"/>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2"/>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2"/>
        </w:numPr>
        <w:pStyle w:val="Compact"/>
      </w:pPr>
      <w:r>
        <w:rPr>
          <w:bCs/>
          <w:b/>
        </w:rPr>
        <w:t xml:space="preserve">Social Media Keywords Wiki</w:t>
      </w:r>
      <w:r>
        <w:t xml:space="preserve">: weekly, 7 entries + editing of other contributors’ pages (20%)</w:t>
      </w:r>
    </w:p>
    <w:p>
      <w:pPr>
        <w:numPr>
          <w:ilvl w:val="0"/>
          <w:numId w:val="1012"/>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8"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Shagun Jhaver, Sucheta Ghoshal, Amy Bruckman, and Eric Gilbert,</w:t>
      </w:r>
      <w:r>
        <w:t xml:space="preserve"> </w:t>
      </w:r>
      <w:r>
        <w:t xml:space="preserve">“</w:t>
      </w:r>
      <w:r>
        <w:t xml:space="preserve">Online Harassment and Content Moderation: The Case of Blocklists.</w:t>
      </w:r>
      <w:r>
        <w:t xml:space="preserve">”</w:t>
      </w:r>
      <w:r>
        <w:t xml:space="preserve"> </w:t>
      </w:r>
      <w:r>
        <w:rPr>
          <w:iCs/>
          <w:i/>
        </w:rPr>
        <w:t xml:space="preserve">ACM Transactions on Computer-Human Interactions</w:t>
      </w:r>
      <w:r>
        <w:t xml:space="preserve"> </w:t>
      </w:r>
      <w:r>
        <w:t xml:space="preserve">25, 2, Article 12 (March 2018), 33 pages. DOI: https://doi.acm.org/10.1145/3185593</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Emily Weinstein and Carrie James (2022),</w:t>
      </w:r>
      <w:r>
        <w:t xml:space="preserve"> </w:t>
      </w:r>
      <w:hyperlink r:id="rId46">
        <w:r>
          <w:rPr>
            <w:rStyle w:val="Hyperlink"/>
            <w:iCs/>
            <w:i/>
          </w:rPr>
          <w:t xml:space="preserve">Behind Their Screens: What Teens Are Facing (And Adults Are Missing)</w:t>
        </w:r>
      </w:hyperlink>
      <w:r>
        <w:t xml:space="preserve">. Cambridge, MA: MIT Press.</w:t>
      </w:r>
      <w:r>
        <w:t xml:space="preserve"> </w:t>
      </w:r>
      <w:hyperlink r:id="rId47">
        <w:r>
          <w:rPr>
            <w:rStyle w:val="Hyperlink"/>
          </w:rPr>
          <w:t xml:space="preserve">Audiobook</w:t>
        </w:r>
      </w:hyperlink>
    </w:p>
    <w:p>
      <w:r>
        <w:pict>
          <v:rect style="width:0;height:1.5pt" o:hralign="center" o:hrstd="t" o:hr="t"/>
        </w:pict>
      </w:r>
    </w:p>
    <w:bookmarkEnd w:id="48"/>
    <w:bookmarkStart w:id="49"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9"/>
    <w:bookmarkStart w:id="51"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5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51"/>
    <w:bookmarkStart w:id="56" w:name="health"/>
    <w:p>
      <w:pPr>
        <w:pStyle w:val="Heading2"/>
      </w:pPr>
      <w:r>
        <w:t xml:space="preserve">Health</w:t>
      </w:r>
    </w:p>
    <w:p>
      <w:pPr>
        <w:pStyle w:val="FirstParagraph"/>
      </w:pPr>
      <w:hyperlink r:id="rId52">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6"/>
    <w:bookmarkStart w:id="59"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7">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8">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9"/>
    <w:bookmarkStart w:id="60"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60"/>
    <w:bookmarkStart w:id="61"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3"/>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3"/>
        </w:numPr>
      </w:pPr>
      <w:r>
        <w:t xml:space="preserve">Save work early and often: Think how much work you do in 10 minutes. I auto save every 2 minutes.</w:t>
      </w:r>
    </w:p>
    <w:p>
      <w:pPr>
        <w:numPr>
          <w:ilvl w:val="0"/>
          <w:numId w:val="1013"/>
        </w:numPr>
      </w:pPr>
      <w:r>
        <w:t xml:space="preserve">Make regular backups of files in a different location: Between Box, Google Drive, Dropbox, and iCloud, you have ample places to store and backup your materials. Use them.</w:t>
      </w:r>
    </w:p>
    <w:p>
      <w:pPr>
        <w:numPr>
          <w:ilvl w:val="0"/>
          <w:numId w:val="1013"/>
        </w:numPr>
      </w:pPr>
      <w:r>
        <w:t xml:space="preserve">Save drafts: When editing, set aside the original and work with a copy.</w:t>
      </w:r>
    </w:p>
    <w:p>
      <w:pPr>
        <w:numPr>
          <w:ilvl w:val="0"/>
          <w:numId w:val="1013"/>
        </w:numPr>
      </w:pPr>
      <w:r>
        <w:t xml:space="preserve">Practice safe computing: On your personal devices, install and use software to control viruses and malware.</w:t>
      </w:r>
    </w:p>
    <w:p>
      <w:r>
        <w:pict>
          <v:rect style="width:0;height:1.5pt" o:hralign="center" o:hrstd="t" o:hr="t"/>
        </w:pict>
      </w:r>
    </w:p>
    <w:bookmarkEnd w:id="61"/>
    <w:bookmarkStart w:id="62"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2"/>
    <w:bookmarkStart w:id="68" w:name="academic-resources"/>
    <w:p>
      <w:pPr>
        <w:pStyle w:val="Heading2"/>
      </w:pPr>
      <w:r>
        <w:t xml:space="preserve">Academic Resources</w:t>
      </w:r>
    </w:p>
    <w:p>
      <w:pPr>
        <w:pStyle w:val="FirstParagraph"/>
      </w:pPr>
      <w:hyperlink r:id="rId63">
        <w:r>
          <w:rPr>
            <w:rStyle w:val="Hyperlink"/>
          </w:rPr>
          <w:t xml:space="preserve">Writing Center</w:t>
        </w:r>
      </w:hyperlink>
    </w:p>
    <w:p>
      <w:pPr>
        <w:pStyle w:val="BodyText"/>
      </w:pPr>
      <w:hyperlink r:id="rId64">
        <w:r>
          <w:rPr>
            <w:rStyle w:val="Hyperlink"/>
          </w:rPr>
          <w:t xml:space="preserve">Academic Policies</w:t>
        </w:r>
      </w:hyperlink>
    </w:p>
    <w:p>
      <w:pPr>
        <w:pStyle w:val="BodyText"/>
      </w:pPr>
      <w:hyperlink r:id="rId65">
        <w:r>
          <w:rPr>
            <w:rStyle w:val="Hyperlink"/>
          </w:rPr>
          <w:t xml:space="preserve">Disability Services</w:t>
        </w:r>
      </w:hyperlink>
    </w:p>
    <w:p>
      <w:pPr>
        <w:pStyle w:val="BodyText"/>
      </w:pPr>
      <w:hyperlink r:id="rId66">
        <w:r>
          <w:rPr>
            <w:rStyle w:val="Hyperlink"/>
          </w:rPr>
          <w:t xml:space="preserve">Fitchburg State Alert system for emergencies, snow closures/delays, and faculty absences</w:t>
        </w:r>
      </w:hyperlink>
    </w:p>
    <w:p>
      <w:pPr>
        <w:pStyle w:val="BodyText"/>
      </w:pPr>
      <w:hyperlink r:id="rId67">
        <w:r>
          <w:rPr>
            <w:rStyle w:val="Hyperlink"/>
          </w:rPr>
          <w:t xml:space="preserve">University Career Services</w:t>
        </w:r>
      </w:hyperlink>
    </w:p>
    <w:p>
      <w:r>
        <w:pict>
          <v:rect style="width:0;height:1.5pt" o:hralign="center" o:hrstd="t" o:hr="t"/>
        </w:pic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2023-07-04T12:19:40Z</dcterms:created>
  <dcterms:modified xsi:type="dcterms:W3CDTF">2023-07-04T12:19:40Z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IBM Plex Mono</vt:lpwstr>
  </property>
  <property fmtid="{D5CDD505-2E9C-101B-9397-08002B2CF9AE}" pid="11" name="toc-title">
    <vt:lpwstr>Table of contents</vt:lpwstr>
  </property>
</Properties>
</file>