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 </w:t>
      </w:r>
      <w:r>
        <w:t xml:space="preserve"> </w:t>
      </w:r>
      <w:r>
        <w:t xml:space="preserve">7 weeks, Monday 22 May – Sunday 9 July 2023</w:t>
      </w:r>
      <w:r>
        <w:br/>
      </w:r>
      <w:r>
        <w:t xml:space="preserve">Instructor: Dr. Martin Roberts</w:t>
      </w:r>
      <w:r>
        <w:br/>
      </w:r>
    </w:p>
    <w:p>
      <w:r>
        <w:pict>
          <v:rect style="width:0;height:1.5pt" o:hralign="center" o:hrstd="t" o:hr="t"/>
        </w:pict>
      </w:r>
    </w:p>
    <w:bookmarkStart w:id="23"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3"/>
    <w:bookmarkStart w:id="24"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4"/>
    <w:bookmarkStart w:id="34" w:name="sources-printweb"/>
    <w:p>
      <w:pPr>
        <w:pStyle w:val="Heading2"/>
      </w:pPr>
      <w:r>
        <w:t xml:space="preserve">Sources: Print/Web</w:t>
      </w:r>
    </w:p>
    <w:p>
      <w:pPr>
        <w:pStyle w:val="FirstParagraph"/>
      </w:pPr>
      <w:r>
        <w:t xml:space="preserve">For reading, we will use ebooks, PDFs, and audiobooks.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pPr>
        <w:pStyle w:val="BodyText"/>
      </w:pPr>
      <w:r>
        <w:rPr>
          <w:bCs/>
          <w:b/>
        </w:rPr>
        <w:t xml:space="preserve">Required</w:t>
      </w:r>
    </w:p>
    <w:p>
      <w:pPr>
        <w:numPr>
          <w:ilvl w:val="0"/>
          <w:numId w:val="1004"/>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4"/>
        </w:numPr>
      </w:pPr>
      <w:r>
        <w:t xml:space="preserve">Claire Dederer,</w:t>
      </w:r>
      <w:r>
        <w:t xml:space="preserve"> </w:t>
      </w:r>
      <w:r>
        <w:rPr>
          <w:iCs/>
          <w:i/>
        </w:rPr>
        <w:t xml:space="preserve">Monsters: A Fan’s Dilemma</w:t>
      </w:r>
      <w:r>
        <w:t xml:space="preserve">. New York: Alfred A. Knopf, 2023.</w:t>
      </w:r>
    </w:p>
    <w:p>
      <w:pPr>
        <w:numPr>
          <w:ilvl w:val="0"/>
          <w:numId w:val="1004"/>
        </w:numPr>
      </w:pPr>
      <w:r>
        <w:t xml:space="preserve">Byung-Chul Han,</w:t>
      </w:r>
      <w:r>
        <w:t xml:space="preserve"> </w:t>
      </w:r>
      <w:r>
        <w:rPr>
          <w:iCs/>
          <w:i/>
        </w:rPr>
        <w:t xml:space="preserve">In The Swarm: Digital Prospects</w:t>
      </w:r>
      <w:r>
        <w:t xml:space="preserve">. Cambridge: MIT Press, 2017.</w:t>
      </w:r>
    </w:p>
    <w:p>
      <w:pPr>
        <w:numPr>
          <w:ilvl w:val="0"/>
          <w:numId w:val="1004"/>
        </w:numPr>
      </w:pP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4"/>
        </w:numPr>
      </w:pPr>
      <w:r>
        <w:t xml:space="preserve">Allissa V. Richardson,</w:t>
      </w:r>
      <w:r>
        <w:t xml:space="preserve"> </w:t>
      </w:r>
      <w:r>
        <w:rPr>
          <w:iCs/>
          <w:i/>
        </w:rPr>
        <w:t xml:space="preserve">Bearing Witness While Black: African Americans, Smartphones, and the New Protest #Journalism</w:t>
      </w:r>
      <w:r>
        <w:t xml:space="preserve">. Oxford: Oxford University Press, 2020.</w:t>
      </w:r>
    </w:p>
    <w:p>
      <w:pPr>
        <w:numPr>
          <w:ilvl w:val="0"/>
          <w:numId w:val="1004"/>
        </w:numPr>
      </w:pPr>
      <w:r>
        <w:t xml:space="preserve">Nicholas A. John,</w:t>
      </w:r>
      <w:r>
        <w:t xml:space="preserve"> </w:t>
      </w:r>
      <w:r>
        <w:rPr>
          <w:iCs/>
          <w:i/>
        </w:rPr>
        <w:t xml:space="preserve">The Age of Sharing</w:t>
      </w:r>
      <w:r>
        <w:t xml:space="preserve">. Cambridge: Polity Press, 2016.</w:t>
      </w:r>
    </w:p>
    <w:p>
      <w:pPr>
        <w:pStyle w:val="FirstParagraph"/>
      </w:pPr>
      <w:r>
        <w:t xml:space="preserve">Michele White,</w:t>
      </w:r>
      <w:r>
        <w:t xml:space="preserve"> </w:t>
      </w:r>
      <w:r>
        <w:rPr>
          <w:iCs/>
          <w:i/>
        </w:rPr>
        <w:t xml:space="preserve">Touch Screen Theory: Digital Devices and Feelings</w:t>
      </w:r>
      <w:r>
        <w:t xml:space="preserve">. Cambridge, MA: MIT Press.</w:t>
      </w:r>
      <w:r>
        <w:t xml:space="preserve"> </w:t>
      </w:r>
      <w:hyperlink r:id="rId27">
        <w:r>
          <w:rPr>
            <w:rStyle w:val="Hyperlink"/>
          </w:rPr>
          <w:t xml:space="preserve">Open Access</w:t>
        </w:r>
      </w:hyperlink>
    </w:p>
    <w:p>
      <w:pPr>
        <w:pStyle w:val="BodyText"/>
      </w:pPr>
      <w:r>
        <w:rPr>
          <w:bCs/>
          <w:b/>
        </w:rPr>
        <w:t xml:space="preserve">Other sources</w:t>
      </w:r>
      <w:r>
        <w:br/>
      </w:r>
      <w:r>
        <w:t xml:space="preserve">These sources are either available online or excerpts will be posted on Blackboard.</w:t>
      </w:r>
    </w:p>
    <w:p>
      <w:pPr>
        <w:numPr>
          <w:ilvl w:val="0"/>
          <w:numId w:val="1005"/>
        </w:numPr>
        <w:pStyle w:val="Compact"/>
      </w:pPr>
      <w:r>
        <w:t xml:space="preserve">Noam Chomsky,</w:t>
      </w:r>
    </w:p>
    <w:p>
      <w:pPr>
        <w:numPr>
          <w:ilvl w:val="0"/>
          <w:numId w:val="1005"/>
        </w:numPr>
        <w:pStyle w:val="Compact"/>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p>
    <w:p>
      <w:pPr>
        <w:numPr>
          <w:ilvl w:val="0"/>
          <w:numId w:val="1005"/>
        </w:numPr>
        <w:pStyle w:val="Compact"/>
      </w:pPr>
      <w:r>
        <w:t xml:space="preserve">Adam D.I. Kramer, Jamie E. Guillory, and Jeffrey T. Hancock,</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pPr>
        <w:numPr>
          <w:ilvl w:val="0"/>
          <w:numId w:val="1005"/>
        </w:numPr>
        <w:pStyle w:val="Compact"/>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p>
    <w:p>
      <w:pPr>
        <w:numPr>
          <w:ilvl w:val="0"/>
          <w:numId w:val="1005"/>
        </w:numPr>
        <w:pStyle w:val="Compact"/>
      </w:pPr>
      <w:r>
        <w:t xml:space="preserve">Gary Marcus &amp; Ernest Davis,</w:t>
      </w:r>
      <w:r>
        <w:t xml:space="preserve"> </w:t>
      </w:r>
      <w:r>
        <w:t xml:space="preserve">“</w:t>
      </w:r>
      <w:r>
        <w:t xml:space="preserve">Insights from the Human Mind</w:t>
      </w:r>
      <w:r>
        <w:t xml:space="preserve">”</w:t>
      </w:r>
      <w:r>
        <w:t xml:space="preserve"> </w:t>
      </w:r>
      <w:r>
        <w:t xml:space="preserve">(chapter 6 of</w:t>
      </w:r>
      <w:r>
        <w:t xml:space="preserve"> </w:t>
      </w:r>
      <w:r>
        <w:rPr>
          <w:iCs/>
          <w:i/>
        </w:rPr>
        <w:t xml:space="preserve">Rebooting AI: Building Artificial Intelligence We Can Trust</w:t>
      </w:r>
      <w:r>
        <w:t xml:space="preserve"> </w:t>
      </w:r>
      <w:r>
        <w:t xml:space="preserve">(New York: Pantheon Books, 2019)).</w:t>
      </w:r>
    </w:p>
    <w:p>
      <w:pPr>
        <w:numPr>
          <w:ilvl w:val="0"/>
          <w:numId w:val="1005"/>
        </w:numPr>
        <w:pStyle w:val="Compact"/>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p>
    <w:p>
      <w:pPr>
        <w:numPr>
          <w:ilvl w:val="0"/>
          <w:numId w:val="1005"/>
        </w:numPr>
        <w:pStyle w:val="Compact"/>
      </w:pPr>
      <w:r>
        <w:t xml:space="preserve">José van Dijck,</w:t>
      </w:r>
      <w:r>
        <w:t xml:space="preserve"> </w:t>
      </w:r>
      <w:r>
        <w:rPr>
          <w:iCs/>
          <w:i/>
        </w:rPr>
        <w:t xml:space="preserve">The Culture of Connectivity: A Critical History of Social Media</w:t>
      </w:r>
      <w:r>
        <w:t xml:space="preserve">. Oxford: Oxford University Press, 2013.</w:t>
      </w:r>
    </w:p>
    <w:p>
      <w:pPr>
        <w:numPr>
          <w:ilvl w:val="0"/>
          <w:numId w:val="1005"/>
        </w:numPr>
        <w:pStyle w:val="Compact"/>
      </w:pPr>
      <w:hyperlink r:id="rId29">
        <w:r>
          <w:rPr>
            <w:rStyle w:val="Hyperlink"/>
          </w:rPr>
          <w:t xml:space="preserve">Evgeny Morozov</w:t>
        </w:r>
      </w:hyperlink>
      <w:r>
        <w:t xml:space="preserve">,</w:t>
      </w:r>
      <w:r>
        <w:t xml:space="preserve"> </w:t>
      </w:r>
      <w:r>
        <w:t xml:space="preserve">“</w:t>
      </w:r>
      <w:hyperlink r:id="rId30">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p>
    <w:p>
      <w:pPr>
        <w:numPr>
          <w:ilvl w:val="0"/>
          <w:numId w:val="1005"/>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5"/>
        </w:numPr>
        <w:pStyle w:val="Compact"/>
      </w:pPr>
      <w:r>
        <w:t xml:space="preserve">Alise Tifentale,</w:t>
      </w:r>
      <w:r>
        <w:t xml:space="preserve"> </w:t>
      </w:r>
      <w:r>
        <w:t xml:space="preserve">“</w:t>
      </w:r>
      <w:hyperlink r:id="rId31">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p>
    <w:p>
      <w:pPr>
        <w:numPr>
          <w:ilvl w:val="0"/>
          <w:numId w:val="1005"/>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4"/>
    <w:bookmarkStart w:id="35" w:name="course-information"/>
    <w:p>
      <w:pPr>
        <w:pStyle w:val="Heading2"/>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 Course Repository hosted on GitHub: please bookmark this link. The folder on the repo will have copies of assigned PDF chapters and articles; to download, click on the document in question and then the Download button.</w:t>
      </w:r>
    </w:p>
    <w:p>
      <w:r>
        <w:pict>
          <v:rect style="width:0;height:1.5pt" o:hralign="center" o:hrstd="t" o:hr="t"/>
        </w:pict>
      </w:r>
    </w:p>
    <w:bookmarkEnd w:id="35"/>
    <w:bookmarkStart w:id="44" w:name="weekly-schedule"/>
    <w:p>
      <w:pPr>
        <w:pStyle w:val="Heading2"/>
      </w:pPr>
      <w:r>
        <w:t xml:space="preserve">Weekly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6"/>
        </w:numPr>
        <w:pStyle w:val="Compact"/>
      </w:pPr>
      <w:hyperlink r:id="rId36">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7"/>
        </w:numPr>
        <w:pStyle w:val="Compact"/>
      </w:pPr>
      <w:r>
        <w:t xml:space="preserve">Geoffrey K. Pullum,</w:t>
      </w:r>
      <w:r>
        <w:t xml:space="preserve"> </w:t>
      </w:r>
      <w:r>
        <w:t xml:space="preserve">“</w:t>
      </w:r>
      <w:hyperlink r:id="rId37">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p>
    <w:p>
      <w:pPr>
        <w:numPr>
          <w:ilvl w:val="0"/>
          <w:numId w:val="1007"/>
        </w:numPr>
        <w:pStyle w:val="Compact"/>
      </w:pPr>
      <w:r>
        <w:t xml:space="preserve">Glen Whitman,</w:t>
      </w:r>
      <w:r>
        <w:t xml:space="preserve"> </w:t>
      </w:r>
      <w:r>
        <w:t xml:space="preserve">“</w:t>
      </w:r>
      <w:hyperlink r:id="rId38">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p>
    <w:p>
      <w:pPr>
        <w:numPr>
          <w:ilvl w:val="0"/>
          <w:numId w:val="1007"/>
        </w:numPr>
        <w:pStyle w:val="Compact"/>
      </w:pPr>
      <w:r>
        <w:t xml:space="preserve">Geoffrey K. Pullum,</w:t>
      </w:r>
      <w:r>
        <w:t xml:space="preserve"> </w:t>
      </w:r>
      <w:r>
        <w:t xml:space="preserve">“</w:t>
      </w:r>
      <w:hyperlink r:id="rId39">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7"/>
        </w:numPr>
        <w:pStyle w:val="Compact"/>
      </w:pPr>
      <w:r>
        <w:t xml:space="preserve">Erin O’Connor, “</w:t>
      </w:r>
      <w:hyperlink r:id="rId40">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p>
    <w:p>
      <w:pPr>
        <w:numPr>
          <w:ilvl w:val="0"/>
          <w:numId w:val="1007"/>
        </w:numPr>
        <w:pStyle w:val="Compact"/>
      </w:pPr>
      <w:hyperlink r:id="rId41">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8"/>
        </w:numPr>
        <w:pStyle w:val="Compact"/>
      </w:pPr>
      <w:hyperlink r:id="rId42">
        <w:r>
          <w:rPr>
            <w:rStyle w:val="Hyperlink"/>
          </w:rPr>
          <w:t xml:space="preserve">Alise Tifentale</w:t>
        </w:r>
      </w:hyperlink>
      <w:r>
        <w:t xml:space="preserve">,</w:t>
      </w:r>
      <w:r>
        <w:t xml:space="preserve"> </w:t>
      </w:r>
      <w:r>
        <w:t xml:space="preserve">“</w:t>
      </w:r>
      <w:hyperlink r:id="rId31">
        <w:r>
          <w:rPr>
            <w:rStyle w:val="Hyperlink"/>
          </w:rPr>
          <w:t xml:space="preserve">Art of the Masses: From Kodak Brownie to Instagram</w:t>
        </w:r>
      </w:hyperlink>
      <w:r>
        <w:t xml:space="preserve">,</w:t>
      </w:r>
      <w:r>
        <w:t xml:space="preserve">”</w:t>
      </w:r>
    </w:p>
    <w:p>
      <w:pPr>
        <w:numPr>
          <w:ilvl w:val="0"/>
          <w:numId w:val="1008"/>
        </w:numPr>
        <w:pStyle w:val="Compact"/>
      </w:pPr>
      <w:hyperlink r:id="rId43">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9"/>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10"/>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p>
    <w:p>
      <w:pPr>
        <w:numPr>
          <w:ilvl w:val="0"/>
          <w:numId w:val="1010"/>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p>
    <w:p>
      <w:pPr>
        <w:numPr>
          <w:ilvl w:val="0"/>
          <w:numId w:val="1010"/>
        </w:numPr>
        <w:pStyle w:val="Compact"/>
      </w:pPr>
      <w:r>
        <w:t xml:space="preserve">Optional: Adam D.I. Kramer, et al.,</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1"/>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p>
    <w:p>
      <w:pPr>
        <w:numPr>
          <w:ilvl w:val="0"/>
          <w:numId w:val="1011"/>
        </w:numPr>
        <w:pStyle w:val="Compact"/>
      </w:pPr>
      <w:hyperlink r:id="rId29">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2"/>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p>
    <w:p>
      <w:pPr>
        <w:numPr>
          <w:ilvl w:val="0"/>
          <w:numId w:val="1012"/>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3"/>
        </w:numPr>
        <w:pStyle w:val="Compact"/>
      </w:pPr>
      <w:r>
        <w:rPr>
          <w:bCs/>
          <w:b/>
        </w:rPr>
        <w:t xml:space="preserve">Review</w:t>
      </w:r>
      <w:r>
        <w:t xml:space="preserve">: 6, weekly from Week 1, one short post responding to readings, 250 words (maximum), due by Friday (20%)</w:t>
      </w:r>
    </w:p>
    <w:p>
      <w:pPr>
        <w:numPr>
          <w:ilvl w:val="0"/>
          <w:numId w:val="1013"/>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p>
    <w:p>
      <w:pPr>
        <w:numPr>
          <w:ilvl w:val="0"/>
          <w:numId w:val="1013"/>
        </w:numPr>
        <w:pStyle w:val="Compact"/>
      </w:pPr>
      <w:r>
        <w:rPr>
          <w:bCs/>
          <w:b/>
        </w:rPr>
        <w:t xml:space="preserve">Commentary</w:t>
      </w:r>
      <w:r>
        <w:t xml:space="preserve">: 2 short papers, 750-1000 words, due Friday of Week 2 and Week 4 (20%)</w:t>
      </w:r>
    </w:p>
    <w:p>
      <w:pPr>
        <w:numPr>
          <w:ilvl w:val="0"/>
          <w:numId w:val="1013"/>
        </w:numPr>
        <w:pStyle w:val="Compact"/>
      </w:pPr>
      <w:r>
        <w:rPr>
          <w:bCs/>
          <w:b/>
        </w:rPr>
        <w:t xml:space="preserve">Research paper/report/other project</w:t>
      </w:r>
      <w:r>
        <w:t xml:space="preserve">: 2,000 words, due Friday of week 6 (20%)</w:t>
      </w:r>
    </w:p>
    <w:p>
      <w:pPr>
        <w:numPr>
          <w:ilvl w:val="0"/>
          <w:numId w:val="1013"/>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[A] = Audiobook</w:t>
      </w:r>
    </w:p>
    <w:p>
      <w:pPr>
        <w:pStyle w:val="BodyText"/>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[A]</w:t>
      </w:r>
      <w:r>
        <w:t xml:space="preserve"> </w:t>
      </w: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w:t>
      </w:r>
      <w:r>
        <w:t xml:space="preserve">(New York: Basic Books, 2022).</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[A] 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Michele White,</w:t>
      </w:r>
      <w:r>
        <w:t xml:space="preserve"> </w:t>
      </w:r>
      <w:r>
        <w:rPr>
          <w:iCs/>
          <w:i/>
        </w:rPr>
        <w:t xml:space="preserve">Touch Screen Theory: Digital Devices and Feelings</w:t>
      </w:r>
      <w:r>
        <w:t xml:space="preserve"> </w:t>
      </w:r>
      <w:r>
        <w:t xml:space="preserve">(Cambridge, MA: MIT Press, 2022).</w:t>
      </w:r>
      <w:r>
        <w:t xml:space="preserve"> </w:t>
      </w:r>
      <w:hyperlink r:id="rId27">
        <w:r>
          <w:rPr>
            <w:rStyle w:val="Hyperlink"/>
          </w:rPr>
          <w:t xml:space="preserve">Open Access</w:t>
        </w:r>
      </w:hyperlink>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4"/>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4"/>
        </w:numPr>
      </w:pPr>
      <w:r>
        <w:t xml:space="preserve">Save work early and often: Think how much work you do in 10 minutes. I auto save every 2 minutes.</w:t>
      </w:r>
    </w:p>
    <w:p>
      <w:pPr>
        <w:numPr>
          <w:ilvl w:val="0"/>
          <w:numId w:val="1014"/>
        </w:numPr>
      </w:pPr>
      <w:r>
        <w:t xml:space="preserve">Make regular backups of files in a different location: Between Box, Google Drive, Dropbox, and iCloud, you have ample places to store and backup your materials. Use them.</w:t>
      </w:r>
    </w:p>
    <w:p>
      <w:pPr>
        <w:numPr>
          <w:ilvl w:val="0"/>
          <w:numId w:val="1014"/>
        </w:numPr>
      </w:pPr>
      <w:r>
        <w:t xml:space="preserve">Save drafts: When editing, set aside the original and work with a copy.</w:t>
      </w:r>
    </w:p>
    <w:p>
      <w:pPr>
        <w:numPr>
          <w:ilvl w:val="0"/>
          <w:numId w:val="1014"/>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_rels/footnotes.xml.rels><?xml version="1.0" encoding="UTF-8"?><Relationships xmlns="http://schemas.openxmlformats.org/package/2006/relationships"><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2023-05-22T17:03:59Z</dcterms:created>
  <dcterms:modified xsi:type="dcterms:W3CDTF">2023-05-22T17:03:59Z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