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18-social-media-theory"/>
    <w:p>
      <w:pPr>
        <w:pStyle w:val="Heading1"/>
      </w:pPr>
      <w:r>
        <w:t xml:space="preserve">COMM 7018: Social Media Theory</w:t>
      </w:r>
    </w:p>
    <w:p>
      <w:pPr>
        <w:pStyle w:val="FirstParagraph"/>
      </w:pPr>
      <w:hyperlink r:id="rId20">
        <w:r>
          <w:rPr>
            <w:rStyle w:val="Hyperlink"/>
          </w:rPr>
          <w:t xml:space="preserve">Fitchburg State University</w:t>
        </w:r>
      </w:hyperlink>
      <w:r>
        <w:br/>
      </w:r>
      <w:hyperlink r:id="rId21">
        <w:r>
          <w:rPr>
            <w:rStyle w:val="Hyperlink"/>
          </w:rPr>
          <w:t xml:space="preserve">Communications Media Department</w:t>
        </w:r>
      </w:hyperlink>
      <w:r>
        <w:br/>
      </w:r>
      <w:hyperlink r:id="rId22">
        <w:r>
          <w:rPr>
            <w:rStyle w:val="Hyperlink"/>
          </w:rPr>
          <w:t xml:space="preserve">MS in Applied Communication: Social Media Concentration</w:t>
        </w:r>
      </w:hyperlink>
    </w:p>
    <w:p>
      <w:pPr>
        <w:pStyle w:val="BodyText"/>
      </w:pPr>
      <w:r>
        <w:t xml:space="preserve">GCE Online-Accelerated </w:t>
      </w:r>
      <w:r>
        <w:t xml:space="preserve"> </w:t>
      </w:r>
      <w:r>
        <w:t xml:space="preserve">7 weeks, Monday 22 May – Sunday 9 July 2023</w:t>
      </w:r>
      <w:r>
        <w:br/>
      </w:r>
      <w:r>
        <w:t xml:space="preserve">Instructor: Dr. Martin Roberts</w:t>
      </w:r>
      <w:r>
        <w:br/>
      </w:r>
    </w:p>
    <w:p>
      <w:r>
        <w:pict>
          <v:rect style="width:0;height:1.5pt" o:hralign="center" o:hrstd="t" o:hr="t"/>
        </w:pict>
      </w:r>
    </w:p>
    <w:bookmarkStart w:id="23" w:name="overview"/>
    <w:p>
      <w:pPr>
        <w:pStyle w:val="Heading2"/>
      </w:pPr>
      <w:r>
        <w:t xml:space="preserve">Overview</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pPr>
        <w:pStyle w:val="BodyText"/>
      </w:pPr>
      <w:r>
        <w:t xml:space="preserve">Each week of the course focuses on some of the key dimensions of social media communication:</w:t>
      </w:r>
    </w:p>
    <w:p>
      <w:pPr>
        <w:numPr>
          <w:ilvl w:val="0"/>
          <w:numId w:val="1002"/>
        </w:numPr>
        <w:pStyle w:val="Compact"/>
      </w:pPr>
      <w:r>
        <w:t xml:space="preserve">the role of</w:t>
      </w:r>
      <w:r>
        <w:t xml:space="preserve"> </w:t>
      </w:r>
      <w:r>
        <w:rPr>
          <w:bCs/>
          <w:b/>
        </w:rPr>
        <w:t xml:space="preserve">language</w:t>
      </w:r>
      <w:r>
        <w:t xml:space="preserve"> </w:t>
      </w:r>
      <w:r>
        <w:t xml:space="preserve">in social media and its transformation;</w:t>
      </w:r>
    </w:p>
    <w:p>
      <w:pPr>
        <w:numPr>
          <w:ilvl w:val="0"/>
          <w:numId w:val="1002"/>
        </w:numPr>
        <w:pStyle w:val="Compact"/>
      </w:pPr>
      <w:r>
        <w:t xml:space="preserve">the</w:t>
      </w:r>
      <w:r>
        <w:t xml:space="preserve"> </w:t>
      </w:r>
      <w:r>
        <w:rPr>
          <w:bCs/>
          <w:b/>
        </w:rPr>
        <w:t xml:space="preserve">aesthetic</w:t>
      </w:r>
      <w:r>
        <w:t xml:space="preserve"> </w:t>
      </w:r>
      <w:r>
        <w:t xml:space="preserve">dimension of social media communication and the centrality of the</w:t>
      </w:r>
      <w:r>
        <w:t xml:space="preserve"> </w:t>
      </w:r>
      <w:r>
        <w:rPr>
          <w:bCs/>
          <w:b/>
        </w:rPr>
        <w:t xml:space="preserve">image</w:t>
      </w:r>
      <w:r>
        <w:t xml:space="preserve"> </w:t>
      </w:r>
      <w:r>
        <w:t xml:space="preserve">as a unit of exchange on social media platforms;</w:t>
      </w:r>
    </w:p>
    <w:p>
      <w:pPr>
        <w:numPr>
          <w:ilvl w:val="0"/>
          <w:numId w:val="1002"/>
        </w:numPr>
        <w:pStyle w:val="Compact"/>
      </w:pPr>
      <w:r>
        <w:t xml:space="preserve">the dimension of</w:t>
      </w:r>
      <w:r>
        <w:t xml:space="preserve"> </w:t>
      </w:r>
      <w:r>
        <w:rPr>
          <w:bCs/>
          <w:b/>
        </w:rPr>
        <w:t xml:space="preserve">sharing</w:t>
      </w:r>
      <w:r>
        <w:t xml:space="preserve"> </w:t>
      </w:r>
      <w:r>
        <w:t xml:space="preserve">that is arguably the central practice of social media;</w:t>
      </w:r>
    </w:p>
    <w:p>
      <w:pPr>
        <w:numPr>
          <w:ilvl w:val="0"/>
          <w:numId w:val="1002"/>
        </w:numPr>
        <w:pStyle w:val="Compact"/>
      </w:pPr>
      <w:r>
        <w:t xml:space="preserve">the</w:t>
      </w:r>
      <w:r>
        <w:t xml:space="preserve"> </w:t>
      </w:r>
      <w:r>
        <w:rPr>
          <w:bCs/>
          <w:b/>
        </w:rPr>
        <w:t xml:space="preserve">affective</w:t>
      </w:r>
      <w:r>
        <w:t xml:space="preserve"> </w:t>
      </w:r>
      <w:r>
        <w:t xml:space="preserve">or emotionally-expresssive dimension of social media, i.e. their role in articulating and sharing</w:t>
      </w:r>
      <w:r>
        <w:t xml:space="preserve"> </w:t>
      </w:r>
      <w:r>
        <w:rPr>
          <w:bCs/>
          <w:b/>
        </w:rPr>
        <w:t xml:space="preserve">structures of feeling</w:t>
      </w:r>
      <w:r>
        <w:t xml:space="preserve">;</w:t>
      </w:r>
    </w:p>
    <w:p>
      <w:pPr>
        <w:numPr>
          <w:ilvl w:val="0"/>
          <w:numId w:val="1002"/>
        </w:numPr>
        <w:pStyle w:val="Compact"/>
      </w:pPr>
      <w:r>
        <w:t xml:space="preserve">critiques of the</w:t>
      </w:r>
      <w:r>
        <w:t xml:space="preserve"> </w:t>
      </w:r>
      <w:r>
        <w:rPr>
          <w:bCs/>
          <w:b/>
        </w:rPr>
        <w:t xml:space="preserve">surveillance capitalism</w:t>
      </w:r>
      <w:r>
        <w:t xml:space="preserve"> </w:t>
      </w:r>
      <w:r>
        <w:t xml:space="preserve">of commercial SM platforms and debates about their practices as a form of</w:t>
      </w:r>
      <w:r>
        <w:t xml:space="preserve"> </w:t>
      </w:r>
      <w:r>
        <w:rPr>
          <w:bCs/>
          <w:b/>
        </w:rPr>
        <w:t xml:space="preserve">techno-feudalism</w:t>
      </w:r>
      <w:r>
        <w:t xml:space="preserve">;</w:t>
      </w:r>
    </w:p>
    <w:p>
      <w:pPr>
        <w:numPr>
          <w:ilvl w:val="0"/>
          <w:numId w:val="1002"/>
        </w:numPr>
        <w:pStyle w:val="Compact"/>
      </w:pPr>
      <w:r>
        <w:t xml:space="preserve">the notion of social media as a complex</w:t>
      </w:r>
      <w:r>
        <w:t xml:space="preserve"> </w:t>
      </w:r>
      <w:r>
        <w:rPr>
          <w:bCs/>
          <w:b/>
        </w:rPr>
        <w:t xml:space="preserve">ecosystem</w:t>
      </w:r>
      <w:r>
        <w:t xml:space="preserve"> </w:t>
      </w:r>
      <w:r>
        <w:t xml:space="preserve">of interdependent practices, as well as proposals for addressing toxic elements within this ecosystem.</w:t>
      </w:r>
    </w:p>
    <w:p>
      <w:r>
        <w:pict>
          <v:rect style="width:0;height:1.5pt" o:hralign="center" o:hrstd="t" o:hr="t"/>
        </w:pict>
      </w:r>
    </w:p>
    <w:bookmarkEnd w:id="23"/>
    <w:bookmarkStart w:id="24" w:name="objectives"/>
    <w:p>
      <w:pPr>
        <w:pStyle w:val="Heading2"/>
      </w:pPr>
      <w:r>
        <w:t xml:space="preserve">Objectives</w:t>
      </w:r>
    </w:p>
    <w:p>
      <w:pPr>
        <w:pStyle w:val="FirstParagraph"/>
      </w:pPr>
      <w:r>
        <w:t xml:space="preserve">By the end of the course, students will be able to:</w:t>
      </w:r>
    </w:p>
    <w:p>
      <w:pPr>
        <w:numPr>
          <w:ilvl w:val="0"/>
          <w:numId w:val="1003"/>
        </w:numPr>
        <w:pStyle w:val="Compact"/>
      </w:pPr>
      <w:r>
        <w:t xml:space="preserve">analyze technologies past, present, and imagined</w:t>
      </w:r>
    </w:p>
    <w:p>
      <w:pPr>
        <w:numPr>
          <w:ilvl w:val="0"/>
          <w:numId w:val="1003"/>
        </w:numPr>
        <w:pStyle w:val="Compact"/>
      </w:pPr>
      <w:r>
        <w:t xml:space="preserve">describe the ways in which technologies shape our world the ways in which we shape those technologies</w:t>
      </w:r>
    </w:p>
    <w:p>
      <w:pPr>
        <w:numPr>
          <w:ilvl w:val="0"/>
          <w:numId w:val="1003"/>
        </w:numPr>
        <w:pStyle w:val="Compact"/>
      </w:pPr>
      <w:r>
        <w:t xml:space="preserve">explain how social media is a result of the intersection between technologies and existing human communication dynamics</w:t>
      </w:r>
    </w:p>
    <w:p>
      <w:pPr>
        <w:numPr>
          <w:ilvl w:val="0"/>
          <w:numId w:val="1003"/>
        </w:numPr>
        <w:pStyle w:val="Compact"/>
      </w:pPr>
      <w:r>
        <w:t xml:space="preserve">discuss how theory of technology and social media can improve the vocational outlook of a student</w:t>
      </w:r>
    </w:p>
    <w:p>
      <w:pPr>
        <w:numPr>
          <w:ilvl w:val="0"/>
          <w:numId w:val="1003"/>
        </w:numPr>
        <w:pStyle w:val="Compact"/>
      </w:pPr>
      <w:r>
        <w:t xml:space="preserve">play a productive role in and even facilitate conversations that tease out the relationships between values and technology.</w:t>
      </w:r>
    </w:p>
    <w:p>
      <w:pPr>
        <w:numPr>
          <w:ilvl w:val="0"/>
          <w:numId w:val="1003"/>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24"/>
    <w:bookmarkStart w:id="34" w:name="sources-printweb"/>
    <w:p>
      <w:pPr>
        <w:pStyle w:val="Heading2"/>
      </w:pPr>
      <w:r>
        <w:t xml:space="preserve">Sources: Print/Web</w:t>
      </w:r>
    </w:p>
    <w:p>
      <w:pPr>
        <w:pStyle w:val="FirstParagraph"/>
      </w:pPr>
      <w:r>
        <w:t xml:space="preserve">For reading, we will use ebooks, PDFs, and audiobooks.</w:t>
      </w:r>
    </w:p>
    <w:p>
      <w:pPr>
        <w:pStyle w:val="BodyText"/>
      </w:pPr>
      <w:r>
        <w:t xml:space="preserve">PDF documents and the syllabus will be available for download in the</w:t>
      </w:r>
      <w:r>
        <w:t xml:space="preserve"> </w:t>
      </w:r>
      <w:hyperlink r:id="rId25">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assigned PDF chapters and articles; to download, click on the document in question and then the Download button.</w:t>
      </w:r>
    </w:p>
    <w:p>
      <w:pPr>
        <w:pStyle w:val="BodyText"/>
      </w:pPr>
      <w:r>
        <w:rPr>
          <w:bCs/>
          <w:b/>
        </w:rPr>
        <w:t xml:space="preserve">Required</w:t>
      </w:r>
    </w:p>
    <w:p>
      <w:pPr>
        <w:numPr>
          <w:ilvl w:val="0"/>
          <w:numId w:val="1004"/>
        </w:numPr>
      </w:pPr>
      <w:r>
        <w:t xml:space="preserve">Amy Bruckman,</w:t>
      </w:r>
      <w:r>
        <w:t xml:space="preserve"> </w:t>
      </w:r>
      <w:r>
        <w:rPr>
          <w:iCs/>
          <w:i/>
        </w:rPr>
        <w:t xml:space="preserve">Should You Believe Wikipedia? Online Communities and the Construction of Knowledge</w:t>
      </w:r>
      <w:r>
        <w:t xml:space="preserve">. Cambridge: Cambridge University Press, 2022.</w:t>
      </w:r>
    </w:p>
    <w:p>
      <w:pPr>
        <w:numPr>
          <w:ilvl w:val="0"/>
          <w:numId w:val="1004"/>
        </w:numPr>
      </w:pPr>
      <w:r>
        <w:t xml:space="preserve">Claire Dederer,</w:t>
      </w:r>
      <w:r>
        <w:t xml:space="preserve"> </w:t>
      </w:r>
      <w:r>
        <w:rPr>
          <w:iCs/>
          <w:i/>
        </w:rPr>
        <w:t xml:space="preserve">Monsters: A Fan’s Dilemma</w:t>
      </w:r>
      <w:r>
        <w:t xml:space="preserve">. New York: Alfred A. Knopf, 2023.</w:t>
      </w:r>
    </w:p>
    <w:p>
      <w:pPr>
        <w:numPr>
          <w:ilvl w:val="0"/>
          <w:numId w:val="1004"/>
        </w:numPr>
      </w:pPr>
      <w:r>
        <w:t xml:space="preserve">Byung-Chul Han,</w:t>
      </w:r>
      <w:r>
        <w:t xml:space="preserve"> </w:t>
      </w:r>
      <w:r>
        <w:rPr>
          <w:iCs/>
          <w:i/>
        </w:rPr>
        <w:t xml:space="preserve">In The Swarm: Digital Prospects</w:t>
      </w:r>
      <w:r>
        <w:t xml:space="preserve">. Cambridge: MIT Press, 2017.</w:t>
      </w:r>
    </w:p>
    <w:p>
      <w:pPr>
        <w:numPr>
          <w:ilvl w:val="0"/>
          <w:numId w:val="1004"/>
        </w:numPr>
      </w:pP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4"/>
        </w:numPr>
      </w:pPr>
      <w:r>
        <w:t xml:space="preserve">Allissa V. Richardson,</w:t>
      </w:r>
      <w:r>
        <w:t xml:space="preserve"> </w:t>
      </w:r>
      <w:r>
        <w:rPr>
          <w:iCs/>
          <w:i/>
        </w:rPr>
        <w:t xml:space="preserve">Bearing Witness While Black: African Americans, Smartphones, and the New Protest #Journalism</w:t>
      </w:r>
      <w:r>
        <w:t xml:space="preserve">. Oxford: Oxford University Press, 2020.</w:t>
      </w:r>
    </w:p>
    <w:p>
      <w:pPr>
        <w:numPr>
          <w:ilvl w:val="0"/>
          <w:numId w:val="1004"/>
        </w:numPr>
      </w:pPr>
      <w:r>
        <w:t xml:space="preserve">Nicholas A. John,</w:t>
      </w:r>
      <w:r>
        <w:t xml:space="preserve"> </w:t>
      </w:r>
      <w:r>
        <w:rPr>
          <w:iCs/>
          <w:i/>
        </w:rPr>
        <w:t xml:space="preserve">The Age of Sharing</w:t>
      </w:r>
      <w:r>
        <w:t xml:space="preserve">. Cambridge: Polity Press, 2016.</w:t>
      </w:r>
    </w:p>
    <w:p>
      <w:pPr>
        <w:pStyle w:val="FirstParagraph"/>
      </w:pPr>
      <w:r>
        <w:t xml:space="preserve">Michele White,</w:t>
      </w:r>
      <w:r>
        <w:t xml:space="preserve"> </w:t>
      </w:r>
      <w:r>
        <w:rPr>
          <w:iCs/>
          <w:i/>
        </w:rPr>
        <w:t xml:space="preserve">Touch Screen Theory: Digital Devices and Feelings</w:t>
      </w:r>
      <w:r>
        <w:t xml:space="preserve">. Cambridge, MA: MIT Press.</w:t>
      </w:r>
      <w:r>
        <w:t xml:space="preserve"> </w:t>
      </w:r>
      <w:hyperlink r:id="rId27">
        <w:r>
          <w:rPr>
            <w:rStyle w:val="Hyperlink"/>
          </w:rPr>
          <w:t xml:space="preserve">Open Access</w:t>
        </w:r>
      </w:hyperlink>
    </w:p>
    <w:p>
      <w:pPr>
        <w:pStyle w:val="BodyText"/>
      </w:pPr>
      <w:r>
        <w:rPr>
          <w:bCs/>
          <w:b/>
        </w:rPr>
        <w:t xml:space="preserve">Other sources</w:t>
      </w:r>
      <w:r>
        <w:br/>
      </w:r>
      <w:r>
        <w:t xml:space="preserve">These sources are either available online or excerpts will be posted on Blackboard.</w:t>
      </w:r>
    </w:p>
    <w:p>
      <w:pPr>
        <w:numPr>
          <w:ilvl w:val="0"/>
          <w:numId w:val="1005"/>
        </w:numPr>
        <w:pStyle w:val="Compact"/>
      </w:pPr>
      <w:r>
        <w:t xml:space="preserve">Noam Chomsky,</w:t>
      </w:r>
    </w:p>
    <w:p>
      <w:pPr>
        <w:numPr>
          <w:ilvl w:val="0"/>
          <w:numId w:val="1005"/>
        </w:numPr>
        <w:pStyle w:val="Compact"/>
      </w:pPr>
      <w:r>
        <w:t xml:space="preserve">Yves Citton,</w:t>
      </w:r>
      <w:r>
        <w:t xml:space="preserve"> </w:t>
      </w:r>
      <w:r>
        <w:rPr>
          <w:iCs/>
          <w:i/>
        </w:rPr>
        <w:t xml:space="preserve">The Ecology of Attention</w:t>
      </w:r>
      <w:r>
        <w:t xml:space="preserve">. Cambridge: Polity Press, 2017 [French edition:</w:t>
      </w:r>
      <w:r>
        <w:t xml:space="preserve"> </w:t>
      </w:r>
      <w:r>
        <w:rPr>
          <w:iCs/>
          <w:i/>
        </w:rPr>
        <w:t xml:space="preserve">Pour une écologie de l’attention</w:t>
      </w:r>
      <w:r>
        <w:t xml:space="preserve">, Éditions du Seuil, 2014].</w:t>
      </w:r>
    </w:p>
    <w:p>
      <w:pPr>
        <w:numPr>
          <w:ilvl w:val="0"/>
          <w:numId w:val="1005"/>
        </w:numPr>
        <w:pStyle w:val="Compact"/>
      </w:pPr>
      <w:r>
        <w:t xml:space="preserve">Adam D.I. Kramer, Jamie E. Guillory, and Jeffrey T. Hancock,</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pPr>
        <w:numPr>
          <w:ilvl w:val="0"/>
          <w:numId w:val="1005"/>
        </w:numPr>
        <w:pStyle w:val="Compact"/>
      </w:pPr>
      <w:r>
        <w:t xml:space="preserve">Lev Manovich,</w:t>
      </w:r>
      <w:r>
        <w:t xml:space="preserve"> </w:t>
      </w:r>
      <w:r>
        <w:t xml:space="preserve">“</w:t>
      </w:r>
      <w:r>
        <w:t xml:space="preserve">The Aesthetic Society, or How I Edit My Instagram,</w:t>
      </w:r>
      <w:r>
        <w:t xml:space="preserve">”</w:t>
      </w:r>
      <w:r>
        <w:t xml:space="preserve"> </w:t>
      </w:r>
      <w:r>
        <w:t xml:space="preserve">in Peter Mörtenböck and Helge Mooshammer, eds.,</w:t>
      </w:r>
      <w:r>
        <w:t xml:space="preserve"> </w:t>
      </w:r>
      <w:r>
        <w:rPr>
          <w:iCs/>
          <w:i/>
        </w:rPr>
        <w:t xml:space="preserve">Data Publics: Public Plurality in an Era of Data Determinacy</w:t>
      </w:r>
      <w:r>
        <w:t xml:space="preserve"> </w:t>
      </w:r>
      <w:r>
        <w:t xml:space="preserve">(New York: Routledge, 2020).</w:t>
      </w:r>
    </w:p>
    <w:p>
      <w:pPr>
        <w:numPr>
          <w:ilvl w:val="0"/>
          <w:numId w:val="1005"/>
        </w:numPr>
        <w:pStyle w:val="Compact"/>
      </w:pPr>
      <w:r>
        <w:t xml:space="preserve">Gary Marcus &amp; Ernest Davis,</w:t>
      </w:r>
      <w:r>
        <w:t xml:space="preserve"> </w:t>
      </w:r>
      <w:r>
        <w:t xml:space="preserve">“</w:t>
      </w:r>
      <w:r>
        <w:t xml:space="preserve">Insights from the Human Mind</w:t>
      </w:r>
      <w:r>
        <w:t xml:space="preserve">”</w:t>
      </w:r>
      <w:r>
        <w:t xml:space="preserve"> </w:t>
      </w:r>
      <w:r>
        <w:t xml:space="preserve">(chapter 6 of</w:t>
      </w:r>
      <w:r>
        <w:t xml:space="preserve"> </w:t>
      </w:r>
      <w:r>
        <w:rPr>
          <w:iCs/>
          <w:i/>
        </w:rPr>
        <w:t xml:space="preserve">Rebooting AI: Building Artificial Intelligence We Can Trust</w:t>
      </w:r>
      <w:r>
        <w:t xml:space="preserve"> </w:t>
      </w:r>
      <w:r>
        <w:t xml:space="preserve">(New York: Pantheon Books, 2019)).</w:t>
      </w:r>
    </w:p>
    <w:p>
      <w:pPr>
        <w:numPr>
          <w:ilvl w:val="0"/>
          <w:numId w:val="1005"/>
        </w:numPr>
        <w:pStyle w:val="Compact"/>
      </w:pPr>
      <w:r>
        <w:t xml:space="preserve">Tony D. Sampson, Stephen Maddison, Darren Ellis, eds.,</w:t>
      </w:r>
      <w:r>
        <w:t xml:space="preserve"> </w:t>
      </w:r>
      <w:r>
        <w:rPr>
          <w:iCs/>
          <w:i/>
        </w:rPr>
        <w:t xml:space="preserve">Affect and Social Media: Emotion, Media, Anxiety and Contagion</w:t>
      </w:r>
      <w:r>
        <w:t xml:space="preserve">. London and New York: Rowman &amp; Littlefield, 2018.</w:t>
      </w:r>
    </w:p>
    <w:p>
      <w:pPr>
        <w:numPr>
          <w:ilvl w:val="0"/>
          <w:numId w:val="1005"/>
        </w:numPr>
        <w:pStyle w:val="Compact"/>
      </w:pPr>
      <w:r>
        <w:t xml:space="preserve">José van Dijck,</w:t>
      </w:r>
      <w:r>
        <w:t xml:space="preserve"> </w:t>
      </w:r>
      <w:r>
        <w:rPr>
          <w:iCs/>
          <w:i/>
        </w:rPr>
        <w:t xml:space="preserve">The Culture of Connectivity: A Critical History of Social Media</w:t>
      </w:r>
      <w:r>
        <w:t xml:space="preserve">. Oxford: Oxford University Press, 2013.</w:t>
      </w:r>
    </w:p>
    <w:p>
      <w:pPr>
        <w:numPr>
          <w:ilvl w:val="0"/>
          <w:numId w:val="1005"/>
        </w:numPr>
        <w:pStyle w:val="Compact"/>
      </w:pPr>
      <w:hyperlink r:id="rId29">
        <w:r>
          <w:rPr>
            <w:rStyle w:val="Hyperlink"/>
          </w:rPr>
          <w:t xml:space="preserve">Evgeny Morozov</w:t>
        </w:r>
      </w:hyperlink>
      <w:r>
        <w:t xml:space="preserve">,</w:t>
      </w:r>
      <w:r>
        <w:t xml:space="preserve"> </w:t>
      </w:r>
      <w:r>
        <w:t xml:space="preserve">“</w:t>
      </w:r>
      <w:hyperlink r:id="rId30">
        <w:r>
          <w:rPr>
            <w:rStyle w:val="Hyperlink"/>
          </w:rPr>
          <w:t xml:space="preserve">Critique of Techno-Feudal Reason</w:t>
        </w:r>
      </w:hyperlink>
      <w:r>
        <w:t xml:space="preserve">,</w:t>
      </w:r>
      <w:r>
        <w:t xml:space="preserve">”</w:t>
      </w:r>
      <w:r>
        <w:t xml:space="preserve"> </w:t>
      </w:r>
      <w:r>
        <w:rPr>
          <w:iCs/>
          <w:i/>
        </w:rPr>
        <w:t xml:space="preserve">New Left Review</w:t>
      </w:r>
      <w:r>
        <w:t xml:space="preserve">, 133/134 (Jan-Apr 2022).</w:t>
      </w:r>
    </w:p>
    <w:p>
      <w:pPr>
        <w:numPr>
          <w:ilvl w:val="0"/>
          <w:numId w:val="1005"/>
        </w:numPr>
        <w:pStyle w:val="Compac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numPr>
          <w:ilvl w:val="0"/>
          <w:numId w:val="1005"/>
        </w:numPr>
        <w:pStyle w:val="Compact"/>
      </w:pPr>
      <w:r>
        <w:t xml:space="preserve">Alise Tifentale,</w:t>
      </w:r>
      <w:r>
        <w:t xml:space="preserve"> </w:t>
      </w:r>
      <w:r>
        <w:t xml:space="preserve">“</w:t>
      </w:r>
      <w:hyperlink r:id="rId31">
        <w:r>
          <w:rPr>
            <w:rStyle w:val="Hyperlink"/>
          </w:rPr>
          <w:t xml:space="preserve">Art of the Masses: From Kodak Brownie to Instagram</w:t>
        </w:r>
      </w:hyperlink>
      <w:r>
        <w:t xml:space="preserve">,</w:t>
      </w:r>
      <w:r>
        <w:t xml:space="preserve">”</w:t>
      </w:r>
      <w:r>
        <w:t xml:space="preserve"> </w:t>
      </w:r>
      <w:r>
        <w:rPr>
          <w:iCs/>
          <w:i/>
        </w:rPr>
        <w:t xml:space="preserve">Networking Knowledge: Journal of the MeCCSA Postgraduate Network</w:t>
      </w:r>
      <w:r>
        <w:t xml:space="preserve"> </w:t>
      </w:r>
      <w:r>
        <w:t xml:space="preserve">8 (6) (2015).</w:t>
      </w:r>
    </w:p>
    <w:p>
      <w:pPr>
        <w:numPr>
          <w:ilvl w:val="0"/>
          <w:numId w:val="1005"/>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r>
        <w:t xml:space="preserve">”</w:t>
      </w:r>
      <w:r>
        <w:t xml:space="preserve"> </w:t>
      </w:r>
      <w:r>
        <w:rPr>
          <w:iCs/>
          <w:i/>
        </w:rPr>
        <w:t xml:space="preserve">New York Times</w:t>
      </w:r>
      <w:r>
        <w:t xml:space="preserve">, 12 Nov 2021.</w:t>
      </w:r>
    </w:p>
    <w:p>
      <w:r>
        <w:pict>
          <v:rect style="width:0;height:1.5pt" o:hralign="center" o:hrstd="t" o:hr="t"/>
        </w:pict>
      </w:r>
    </w:p>
    <w:bookmarkEnd w:id="34"/>
    <w:bookmarkStart w:id="35" w:name="course-information"/>
    <w:p>
      <w:pPr>
        <w:pStyle w:val="Heading2"/>
      </w:pPr>
      <w:r>
        <w:t xml:space="preserve">Course Information</w:t>
      </w:r>
    </w:p>
    <w:p>
      <w:pPr>
        <w:pStyle w:val="FirstParagraph"/>
      </w:pPr>
      <w:r>
        <w:rPr>
          <w:bCs/>
          <w:b/>
        </w:rPr>
        <w:t xml:space="preserve">Platforms</w:t>
      </w:r>
      <w:r>
        <w:br/>
      </w:r>
      <w:r>
        <w:t xml:space="preserve">We’ll be using Blackboard for submitting assignments ONLY. For discussion, we will be using Discord.</w:t>
      </w:r>
    </w:p>
    <w:p>
      <w:pPr>
        <w:pStyle w:val="BodyText"/>
      </w:pPr>
      <w:r>
        <w:t xml:space="preserve">Please be sure to check in to the site at least once daily M-F to check the Announcements page and the Discussion forum for the week.</w:t>
      </w:r>
    </w:p>
    <w:p>
      <w:pPr>
        <w:pStyle w:val="BodyText"/>
      </w:pPr>
      <w:r>
        <w:rPr>
          <w:bCs/>
          <w:b/>
        </w:rPr>
        <w:t xml:space="preserve">Sources</w:t>
      </w:r>
      <w:r>
        <w:br/>
      </w:r>
      <w:r>
        <w:t xml:space="preserve">For reading, we will use ebooks, PDFs, and audiobooks.</w:t>
      </w:r>
    </w:p>
    <w:p>
      <w:pPr>
        <w:pStyle w:val="BodyText"/>
      </w:pPr>
      <w:r>
        <w:t xml:space="preserve">PDF documents and the syllabus will be available for download in the Course Repository hosted on GitHub: please bookmark this link. The folder on the repo will have copies of assigned PDF chapters and articles; to download, click on the document in question and then the Download button.</w:t>
      </w:r>
    </w:p>
    <w:p>
      <w:r>
        <w:pict>
          <v:rect style="width:0;height:1.5pt" o:hralign="center" o:hrstd="t" o:hr="t"/>
        </w:pict>
      </w:r>
    </w:p>
    <w:bookmarkEnd w:id="35"/>
    <w:bookmarkStart w:id="44" w:name="weekly-schedule"/>
    <w:p>
      <w:pPr>
        <w:pStyle w:val="Heading2"/>
      </w:pPr>
      <w:r>
        <w:t xml:space="preserve">Weekly Schedule</w:t>
      </w:r>
    </w:p>
    <w:p>
      <w:pPr>
        <w:pStyle w:val="FirstParagraph"/>
      </w:pPr>
      <w:r>
        <w:rPr>
          <w:bCs/>
          <w:b/>
        </w:rPr>
        <w:t xml:space="preserve">Week 1</w:t>
      </w:r>
      <w:r>
        <w:t xml:space="preserve"> </w:t>
      </w:r>
      <w:r>
        <w:t xml:space="preserve">M 05/16</w:t>
      </w:r>
    </w:p>
    <w:p>
      <w:pPr>
        <w:pStyle w:val="BodyText"/>
      </w:pPr>
      <w:r>
        <w:t xml:space="preserve">Topic: Speaking/Writing</w:t>
      </w:r>
    </w:p>
    <w:p>
      <w:pPr>
        <w:numPr>
          <w:ilvl w:val="0"/>
          <w:numId w:val="1006"/>
        </w:numPr>
        <w:pStyle w:val="Compact"/>
      </w:pPr>
      <w:hyperlink r:id="rId36">
        <w:r>
          <w:rPr>
            <w:rStyle w:val="Hyperlink"/>
          </w:rPr>
          <w:t xml:space="preserve">Gretchen McCulloch</w:t>
        </w:r>
      </w:hyperlink>
      <w:r>
        <w:t xml:space="preserve">,</w:t>
      </w:r>
      <w:r>
        <w:t xml:space="preserve"> </w:t>
      </w:r>
      <w:r>
        <w:rPr>
          <w:iCs/>
          <w:i/>
        </w:rPr>
        <w:t xml:space="preserve">Because Internet</w:t>
      </w:r>
      <w:r>
        <w:t xml:space="preserve">:</w:t>
      </w:r>
      <w:r>
        <w:t xml:space="preserve"> </w:t>
      </w:r>
      <w:r>
        <w:t xml:space="preserve">“</w:t>
      </w:r>
      <w:r>
        <w:t xml:space="preserve">Informal Writing,</w:t>
      </w:r>
      <w:r>
        <w:t xml:space="preserve">”</w:t>
      </w:r>
      <w:r>
        <w:t xml:space="preserve"> </w:t>
      </w:r>
      <w:r>
        <w:t xml:space="preserve">“</w:t>
      </w:r>
      <w:r>
        <w:t xml:space="preserve">Typographical Tone of Voice,</w:t>
      </w:r>
      <w:r>
        <w:t xml:space="preserve">”</w:t>
      </w:r>
      <w:r>
        <w:t xml:space="preserve"> </w:t>
      </w:r>
      <w:r>
        <w:t xml:space="preserve">“</w:t>
      </w:r>
      <w:r>
        <w:t xml:space="preserve">Emoji and Other Internet Gestures</w:t>
      </w:r>
      <w:r>
        <w:t xml:space="preserve">”</w:t>
      </w:r>
      <w:r>
        <w:t xml:space="preserve"> </w:t>
      </w:r>
      <w:r>
        <w:t xml:space="preserve">(chs. 1, 4, 5)</w:t>
      </w:r>
    </w:p>
    <w:p>
      <w:pPr>
        <w:pStyle w:val="FirstParagraph"/>
      </w:pPr>
      <w:r>
        <w:t xml:space="preserve">See also:</w:t>
      </w:r>
    </w:p>
    <w:p>
      <w:pPr>
        <w:numPr>
          <w:ilvl w:val="0"/>
          <w:numId w:val="1007"/>
        </w:numPr>
        <w:pStyle w:val="Compact"/>
      </w:pPr>
      <w:r>
        <w:t xml:space="preserve">Geoffrey K. Pullum,</w:t>
      </w:r>
      <w:r>
        <w:t xml:space="preserve"> </w:t>
      </w:r>
      <w:r>
        <w:t xml:space="preserve">“</w:t>
      </w:r>
      <w:hyperlink r:id="rId37">
        <w:r>
          <w:rPr>
            <w:rStyle w:val="Hyperlink"/>
          </w:rPr>
          <w:t xml:space="preserve">Phrases for Lazy Writers in Kit Form</w:t>
        </w:r>
      </w:hyperlink>
      <w:r>
        <w:t xml:space="preserve">,</w:t>
      </w:r>
      <w:r>
        <w:t xml:space="preserve">”</w:t>
      </w:r>
      <w:r>
        <w:t xml:space="preserve"> </w:t>
      </w:r>
      <w:r>
        <w:rPr>
          <w:iCs/>
          <w:i/>
        </w:rPr>
        <w:t xml:space="preserve">Language Log</w:t>
      </w:r>
      <w:r>
        <w:t xml:space="preserve">, 27 Oct. 2003</w:t>
      </w:r>
    </w:p>
    <w:p>
      <w:pPr>
        <w:numPr>
          <w:ilvl w:val="0"/>
          <w:numId w:val="1007"/>
        </w:numPr>
        <w:pStyle w:val="Compact"/>
      </w:pPr>
      <w:r>
        <w:t xml:space="preserve">Glen Whitman,</w:t>
      </w:r>
      <w:r>
        <w:t xml:space="preserve"> </w:t>
      </w:r>
      <w:r>
        <w:t xml:space="preserve">“</w:t>
      </w:r>
      <w:hyperlink r:id="rId38">
        <w:r>
          <w:rPr>
            <w:rStyle w:val="Hyperlink"/>
          </w:rPr>
          <w:t xml:space="preserve">Phrases for Lazy Writers in Kit Form Are the New Clichés</w:t>
        </w:r>
      </w:hyperlink>
      <w:r>
        <w:t xml:space="preserve">,</w:t>
      </w:r>
      <w:r>
        <w:t xml:space="preserve">”</w:t>
      </w:r>
      <w:r>
        <w:t xml:space="preserve"> </w:t>
      </w:r>
      <w:r>
        <w:rPr>
          <w:iCs/>
          <w:i/>
        </w:rPr>
        <w:t xml:space="preserve">Agoraphilia</w:t>
      </w:r>
      <w:r>
        <w:t xml:space="preserve">, 14 Jan. 2004</w:t>
      </w:r>
    </w:p>
    <w:p>
      <w:pPr>
        <w:numPr>
          <w:ilvl w:val="0"/>
          <w:numId w:val="1007"/>
        </w:numPr>
        <w:pStyle w:val="Compact"/>
      </w:pPr>
      <w:r>
        <w:t xml:space="preserve">Geoffrey K. Pullum,</w:t>
      </w:r>
      <w:r>
        <w:t xml:space="preserve"> </w:t>
      </w:r>
      <w:r>
        <w:t xml:space="preserve">“</w:t>
      </w:r>
      <w:hyperlink r:id="rId39">
        <w:r>
          <w:rPr>
            <w:rStyle w:val="Hyperlink"/>
          </w:rPr>
          <w:t xml:space="preserve">Snowclones: Lexicological Dating to the Second</w:t>
        </w:r>
      </w:hyperlink>
      <w:r>
        <w:t xml:space="preserve">,</w:t>
      </w:r>
      <w:r>
        <w:t xml:space="preserve">”</w:t>
      </w:r>
      <w:r>
        <w:t xml:space="preserve"> </w:t>
      </w:r>
      <w:r>
        <w:rPr>
          <w:iCs/>
          <w:i/>
        </w:rPr>
        <w:t xml:space="preserve">Language Log</w:t>
      </w:r>
      <w:r>
        <w:t xml:space="preserve">, 16 Jan. 2004</w:t>
      </w:r>
    </w:p>
    <w:p>
      <w:pPr>
        <w:numPr>
          <w:ilvl w:val="0"/>
          <w:numId w:val="1007"/>
        </w:numPr>
        <w:pStyle w:val="Compact"/>
      </w:pPr>
      <w:r>
        <w:t xml:space="preserve">Erin O’Connor, “</w:t>
      </w:r>
      <w:hyperlink r:id="rId40">
        <w:r>
          <w:rPr>
            <w:rStyle w:val="Hyperlink"/>
          </w:rPr>
          <w:t xml:space="preserve">A bit of Language-Log-ish geekery</w:t>
        </w:r>
      </w:hyperlink>
      <w:r>
        <w:t xml:space="preserve">,</w:t>
      </w:r>
      <w:r>
        <w:t xml:space="preserve"> </w:t>
      </w:r>
      <w:r>
        <w:rPr>
          <w:iCs/>
          <w:i/>
        </w:rPr>
        <w:t xml:space="preserve">kirinqeen</w:t>
      </w:r>
      <w:r>
        <w:t xml:space="preserve"> </w:t>
      </w:r>
      <w:r>
        <w:t xml:space="preserve">blog, 23 June 2005</w:t>
      </w:r>
    </w:p>
    <w:p>
      <w:pPr>
        <w:numPr>
          <w:ilvl w:val="0"/>
          <w:numId w:val="1007"/>
        </w:numPr>
        <w:pStyle w:val="Compact"/>
      </w:pPr>
      <w:hyperlink r:id="rId41">
        <w:r>
          <w:rPr>
            <w:rStyle w:val="Hyperlink"/>
          </w:rPr>
          <w:t xml:space="preserve">The Snowclones Database</w:t>
        </w:r>
      </w:hyperlink>
    </w:p>
    <w:p>
      <w:r>
        <w:pict>
          <v:rect style="width:0;height:1.5pt" o:hralign="center" o:hrstd="t" o:hr="t"/>
        </w:pict>
      </w:r>
    </w:p>
    <w:p>
      <w:pPr>
        <w:pStyle w:val="FirstParagraph"/>
      </w:pPr>
      <w:r>
        <w:rPr>
          <w:bCs/>
          <w:b/>
        </w:rPr>
        <w:t xml:space="preserve">Week 2</w:t>
      </w:r>
      <w:r>
        <w:t xml:space="preserve"> </w:t>
      </w:r>
      <w:r>
        <w:t xml:space="preserve">M 05/23</w:t>
      </w:r>
    </w:p>
    <w:p>
      <w:pPr>
        <w:pStyle w:val="BodyText"/>
      </w:pPr>
      <w:r>
        <w:t xml:space="preserve">Topic: Aesthetics</w:t>
      </w:r>
    </w:p>
    <w:p>
      <w:pPr>
        <w:numPr>
          <w:ilvl w:val="0"/>
          <w:numId w:val="1008"/>
        </w:numPr>
        <w:pStyle w:val="Compact"/>
      </w:pPr>
      <w:hyperlink r:id="rId42">
        <w:r>
          <w:rPr>
            <w:rStyle w:val="Hyperlink"/>
          </w:rPr>
          <w:t xml:space="preserve">Alise Tifentale</w:t>
        </w:r>
      </w:hyperlink>
      <w:r>
        <w:t xml:space="preserve">,</w:t>
      </w:r>
      <w:r>
        <w:t xml:space="preserve"> </w:t>
      </w:r>
      <w:r>
        <w:t xml:space="preserve">“</w:t>
      </w:r>
      <w:hyperlink r:id="rId31">
        <w:r>
          <w:rPr>
            <w:rStyle w:val="Hyperlink"/>
          </w:rPr>
          <w:t xml:space="preserve">Art of the Masses: From Kodak Brownie to Instagram</w:t>
        </w:r>
      </w:hyperlink>
      <w:r>
        <w:t xml:space="preserve">,</w:t>
      </w:r>
      <w:r>
        <w:t xml:space="preserve">”</w:t>
      </w:r>
    </w:p>
    <w:p>
      <w:pPr>
        <w:numPr>
          <w:ilvl w:val="0"/>
          <w:numId w:val="1008"/>
        </w:numPr>
        <w:pStyle w:val="Compact"/>
      </w:pPr>
      <w:hyperlink r:id="rId43">
        <w:r>
          <w:rPr>
            <w:rStyle w:val="Hyperlink"/>
          </w:rPr>
          <w:t xml:space="preserve">Lev Manovich</w:t>
        </w:r>
      </w:hyperlink>
      <w:r>
        <w:t xml:space="preserve">,</w:t>
      </w:r>
      <w:r>
        <w:t xml:space="preserve"> </w:t>
      </w:r>
      <w:r>
        <w:t xml:space="preserve">“</w:t>
      </w:r>
      <w:r>
        <w:t xml:space="preserve">The Aesthetic Society, or How I Edit My Instagram</w:t>
      </w:r>
      <w:r>
        <w:t xml:space="preserve">”</w:t>
      </w:r>
    </w:p>
    <w:p>
      <w:r>
        <w:pict>
          <v:rect style="width:0;height:1.5pt" o:hralign="center" o:hrstd="t" o:hr="t"/>
        </w:pict>
      </w:r>
    </w:p>
    <w:p>
      <w:pPr>
        <w:pStyle w:val="FirstParagraph"/>
      </w:pPr>
      <w:r>
        <w:rPr>
          <w:bCs/>
          <w:b/>
        </w:rPr>
        <w:t xml:space="preserve">Week 3</w:t>
      </w:r>
      <w:r>
        <w:t xml:space="preserve"> </w:t>
      </w:r>
      <w:r>
        <w:t xml:space="preserve">M 05/30</w:t>
      </w:r>
    </w:p>
    <w:p>
      <w:pPr>
        <w:pStyle w:val="BodyText"/>
      </w:pPr>
      <w:r>
        <w:t xml:space="preserve">Topic: Sharing</w:t>
      </w:r>
    </w:p>
    <w:p>
      <w:pPr>
        <w:numPr>
          <w:ilvl w:val="0"/>
          <w:numId w:val="1009"/>
        </w:numPr>
        <w:pStyle w:val="Compact"/>
      </w:pPr>
      <w:r>
        <w:t xml:space="preserve">José van Dijck,</w:t>
      </w:r>
      <w:r>
        <w:t xml:space="preserve"> </w:t>
      </w:r>
      <w:r>
        <w:rPr>
          <w:iCs/>
          <w:i/>
        </w:rPr>
        <w:t xml:space="preserve">The Culture of Connectivity</w:t>
      </w:r>
      <w:r>
        <w:t xml:space="preserve">:</w:t>
      </w:r>
      <w:r>
        <w:t xml:space="preserve"> </w:t>
      </w:r>
      <w:r>
        <w:t xml:space="preserve">“</w:t>
      </w:r>
      <w:r>
        <w:t xml:space="preserve">Facebook and the Imperative of Sharing</w:t>
      </w:r>
      <w:r>
        <w:t xml:space="preserve">”</w:t>
      </w:r>
      <w:r>
        <w:t xml:space="preserve"> </w:t>
      </w:r>
      <w:r>
        <w:t xml:space="preserve">(ch. 3)</w:t>
      </w:r>
    </w:p>
    <w:p>
      <w:pPr>
        <w:numPr>
          <w:ilvl w:val="0"/>
          <w:numId w:val="1009"/>
        </w:numPr>
        <w:pStyle w:val="Compact"/>
      </w:pPr>
      <w:r>
        <w:t xml:space="preserve">Nicholas John,</w:t>
      </w:r>
      <w:r>
        <w:t xml:space="preserve"> </w:t>
      </w:r>
      <w:r>
        <w:rPr>
          <w:iCs/>
          <w:i/>
        </w:rPr>
        <w:t xml:space="preserve">The Age of Sharing</w:t>
      </w:r>
      <w:r>
        <w:t xml:space="preserve">:</w:t>
      </w:r>
      <w:r>
        <w:t xml:space="preserve"> </w:t>
      </w:r>
      <w:r>
        <w:t xml:space="preserve">“</w:t>
      </w:r>
      <w:r>
        <w:t xml:space="preserve">Introduction,</w:t>
      </w:r>
      <w:r>
        <w:t xml:space="preserve">”</w:t>
      </w:r>
      <w:r>
        <w:t xml:space="preserve"> </w:t>
      </w:r>
      <w:r>
        <w:t xml:space="preserve">“</w:t>
      </w:r>
      <w:r>
        <w:t xml:space="preserve">Sharing and the Internet</w:t>
      </w:r>
      <w:r>
        <w:t xml:space="preserve">”</w:t>
      </w:r>
      <w:r>
        <w:t xml:space="preserve"> </w:t>
      </w:r>
      <w:r>
        <w:t xml:space="preserve">(ch. 3)</w:t>
      </w:r>
    </w:p>
    <w:p>
      <w:r>
        <w:pict>
          <v:rect style="width:0;height:1.5pt" o:hralign="center" o:hrstd="t" o:hr="t"/>
        </w:pict>
      </w:r>
    </w:p>
    <w:p>
      <w:pPr>
        <w:pStyle w:val="FirstParagraph"/>
      </w:pPr>
      <w:r>
        <w:rPr>
          <w:bCs/>
          <w:b/>
        </w:rPr>
        <w:t xml:space="preserve">Week 4</w:t>
      </w:r>
      <w:r>
        <w:t xml:space="preserve"> </w:t>
      </w:r>
      <w:r>
        <w:t xml:space="preserve">M 06/06</w:t>
      </w:r>
    </w:p>
    <w:p>
      <w:pPr>
        <w:pStyle w:val="BodyText"/>
      </w:pPr>
      <w:r>
        <w:t xml:space="preserve">Topic: Affect</w:t>
      </w:r>
    </w:p>
    <w:p>
      <w:pPr>
        <w:numPr>
          <w:ilvl w:val="0"/>
          <w:numId w:val="1010"/>
        </w:numPr>
        <w:pStyle w:val="Compact"/>
      </w:pPr>
      <w:r>
        <w:t xml:space="preserve">Nicholas John,</w:t>
      </w:r>
      <w:r>
        <w:t xml:space="preserve"> </w:t>
      </w:r>
      <w:r>
        <w:rPr>
          <w:iCs/>
          <w:i/>
        </w:rPr>
        <w:t xml:space="preserve">The Age of Sharing</w:t>
      </w:r>
      <w:r>
        <w:t xml:space="preserve">:</w:t>
      </w:r>
      <w:r>
        <w:t xml:space="preserve"> </w:t>
      </w:r>
      <w:r>
        <w:t xml:space="preserve">“</w:t>
      </w:r>
      <w:r>
        <w:t xml:space="preserve">Sharing our Feelings</w:t>
      </w:r>
      <w:r>
        <w:t xml:space="preserve">”</w:t>
      </w:r>
      <w:r>
        <w:t xml:space="preserve"> </w:t>
      </w:r>
      <w:r>
        <w:t xml:space="preserve">(ch. 3)</w:t>
      </w:r>
    </w:p>
    <w:p>
      <w:pPr>
        <w:numPr>
          <w:ilvl w:val="0"/>
          <w:numId w:val="1010"/>
        </w:numPr>
        <w:pStyle w:val="Compact"/>
      </w:pPr>
      <w:r>
        <w:t xml:space="preserve">Tony D. Sampson et al.,</w:t>
      </w:r>
      <w:r>
        <w:t xml:space="preserve"> </w:t>
      </w:r>
      <w:r>
        <w:rPr>
          <w:iCs/>
          <w:i/>
        </w:rPr>
        <w:t xml:space="preserve">Affect and Social Media: Emotion, Media, Anxiety and Contagion</w:t>
      </w:r>
      <w:r>
        <w:t xml:space="preserve">:</w:t>
      </w:r>
      <w:r>
        <w:t xml:space="preserve"> </w:t>
      </w:r>
      <w:r>
        <w:t xml:space="preserve">“</w:t>
      </w:r>
      <w:r>
        <w:t xml:space="preserve">Introduction: On Affect, Social Media and Criticality</w:t>
      </w:r>
      <w:r>
        <w:t xml:space="preserve">”</w:t>
      </w:r>
    </w:p>
    <w:p>
      <w:pPr>
        <w:numPr>
          <w:ilvl w:val="0"/>
          <w:numId w:val="1010"/>
        </w:numPr>
        <w:pStyle w:val="Compact"/>
      </w:pPr>
      <w:r>
        <w:t xml:space="preserve">Optional: Adam D.I. Kramer, et al.,</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r>
        <w:pict>
          <v:rect style="width:0;height:1.5pt" o:hralign="center" o:hrstd="t" o:hr="t"/>
        </w:pict>
      </w:r>
    </w:p>
    <w:p>
      <w:pPr>
        <w:pStyle w:val="FirstParagraph"/>
      </w:pPr>
      <w:r>
        <w:rPr>
          <w:bCs/>
          <w:b/>
        </w:rPr>
        <w:t xml:space="preserve">Week 5</w:t>
      </w:r>
      <w:r>
        <w:t xml:space="preserve"> </w:t>
      </w:r>
      <w:r>
        <w:t xml:space="preserve">M 06/13</w:t>
      </w:r>
    </w:p>
    <w:p>
      <w:pPr>
        <w:pStyle w:val="BodyText"/>
      </w:pPr>
      <w:r>
        <w:t xml:space="preserve">Topic: Disposession</w:t>
      </w:r>
    </w:p>
    <w:p>
      <w:pPr>
        <w:numPr>
          <w:ilvl w:val="0"/>
          <w:numId w:val="1011"/>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p>
    <w:p>
      <w:pPr>
        <w:numPr>
          <w:ilvl w:val="0"/>
          <w:numId w:val="1011"/>
        </w:numPr>
        <w:pStyle w:val="Compact"/>
      </w:pPr>
      <w:hyperlink r:id="rId29">
        <w:r>
          <w:rPr>
            <w:rStyle w:val="Hyperlink"/>
          </w:rPr>
          <w:t xml:space="preserve">Evgeny Morozov</w:t>
        </w:r>
      </w:hyperlink>
      <w:r>
        <w:t xml:space="preserve">,</w:t>
      </w:r>
      <w:r>
        <w:t xml:space="preserve"> </w:t>
      </w:r>
      <w:r>
        <w:t xml:space="preserve">“</w:t>
      </w:r>
      <w:r>
        <w:t xml:space="preserve">Critique of Techno-Feudal Reason</w:t>
      </w:r>
      <w:r>
        <w:t xml:space="preserve">”</w:t>
      </w:r>
    </w:p>
    <w:p>
      <w:r>
        <w:pict>
          <v:rect style="width:0;height:1.5pt" o:hralign="center" o:hrstd="t" o:hr="t"/>
        </w:pict>
      </w:r>
    </w:p>
    <w:p>
      <w:pPr>
        <w:pStyle w:val="FirstParagraph"/>
      </w:pPr>
      <w:r>
        <w:rPr>
          <w:bCs/>
          <w:b/>
        </w:rPr>
        <w:t xml:space="preserve">Week 6</w:t>
      </w:r>
      <w:r>
        <w:t xml:space="preserve"> </w:t>
      </w:r>
      <w:r>
        <w:t xml:space="preserve">M 06/20</w:t>
      </w:r>
    </w:p>
    <w:p>
      <w:pPr>
        <w:pStyle w:val="BodyText"/>
      </w:pPr>
      <w:r>
        <w:t xml:space="preserve">Topic: Ecologies</w:t>
      </w:r>
    </w:p>
    <w:p>
      <w:pPr>
        <w:numPr>
          <w:ilvl w:val="0"/>
          <w:numId w:val="1012"/>
        </w:numPr>
        <w:pStyle w:val="Compact"/>
      </w:pPr>
      <w:r>
        <w:t xml:space="preserve">Yves Citton,</w:t>
      </w:r>
      <w:r>
        <w:t xml:space="preserve"> </w:t>
      </w:r>
      <w:r>
        <w:rPr>
          <w:iCs/>
          <w:i/>
        </w:rPr>
        <w:t xml:space="preserve">The Ecology of Attention</w:t>
      </w:r>
      <w:r>
        <w:t xml:space="preserve">:</w:t>
      </w:r>
      <w:r>
        <w:t xml:space="preserve"> </w:t>
      </w:r>
      <w:r>
        <w:t xml:space="preserve">“</w:t>
      </w:r>
      <w:r>
        <w:t xml:space="preserve">Introduction: From Attention Economy to Attention Ecology</w:t>
      </w:r>
      <w:r>
        <w:t xml:space="preserve">”</w:t>
      </w:r>
    </w:p>
    <w:p>
      <w:pPr>
        <w:numPr>
          <w:ilvl w:val="0"/>
          <w:numId w:val="1012"/>
        </w:numPr>
        <w:pStyle w:val="Compact"/>
      </w:pPr>
      <w:r>
        <w:t xml:space="preserve">Whitney Phillps and Ryan Milner,</w:t>
      </w:r>
      <w:r>
        <w:t xml:space="preserve"> </w:t>
      </w:r>
      <w:r>
        <w:rPr>
          <w:iCs/>
          <w:i/>
        </w:rPr>
        <w:t xml:space="preserve">You Are Here</w:t>
      </w:r>
      <w:r>
        <w:t xml:space="preserve">:</w:t>
      </w:r>
      <w:r>
        <w:t xml:space="preserve"> </w:t>
      </w:r>
      <w:r>
        <w:t xml:space="preserve">“</w:t>
      </w:r>
      <w:r>
        <w:t xml:space="preserve">Introduction: Mapping Network Pollution</w:t>
      </w:r>
      <w:r>
        <w:t xml:space="preserve">”</w:t>
      </w:r>
    </w:p>
    <w:p>
      <w:r>
        <w:pict>
          <v:rect style="width:0;height:1.5pt" o:hralign="center" o:hrstd="t" o:hr="t"/>
        </w:pict>
      </w:r>
    </w:p>
    <w:p>
      <w:pPr>
        <w:pStyle w:val="FirstParagraph"/>
      </w:pPr>
      <w:r>
        <w:rPr>
          <w:bCs/>
          <w:b/>
        </w:rPr>
        <w:t xml:space="preserve">Week 7</w:t>
      </w:r>
      <w:r>
        <w:t xml:space="preserve"> </w:t>
      </w:r>
      <w:r>
        <w:t xml:space="preserve">M 06/27</w:t>
      </w:r>
    </w:p>
    <w:p>
      <w:pPr>
        <w:pStyle w:val="BodyText"/>
      </w:pPr>
      <w:r>
        <w:t xml:space="preserve">Topic: Research paper presentations</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3"/>
        </w:numPr>
        <w:pStyle w:val="Compact"/>
      </w:pPr>
      <w:r>
        <w:rPr>
          <w:bCs/>
          <w:b/>
        </w:rPr>
        <w:t xml:space="preserve">Review</w:t>
      </w:r>
      <w:r>
        <w:t xml:space="preserve">: 6, weekly from Week 1, one short post responding to readings, 250 words (maximum), due by Friday (20%)</w:t>
      </w:r>
    </w:p>
    <w:p>
      <w:pPr>
        <w:numPr>
          <w:ilvl w:val="0"/>
          <w:numId w:val="1013"/>
        </w:numPr>
        <w:pStyle w:val="Compact"/>
      </w:pPr>
      <w:r>
        <w:rPr>
          <w:bCs/>
          <w:b/>
        </w:rPr>
        <w:t xml:space="preserve">Discussion</w:t>
      </w:r>
      <w:r>
        <w:t xml:space="preserve">: weekly after Week 1, 2-3 responses to other students’ posts., 100 words max., due by the</w:t>
      </w:r>
      <w:r>
        <w:t xml:space="preserve"> </w:t>
      </w:r>
      <w:r>
        <w:rPr>
          <w:iCs/>
          <w:i/>
        </w:rPr>
        <w:t xml:space="preserve">following</w:t>
      </w:r>
      <w:r>
        <w:t xml:space="preserve"> </w:t>
      </w:r>
      <w:r>
        <w:t xml:space="preserve">Friday (20%)</w:t>
      </w:r>
    </w:p>
    <w:p>
      <w:pPr>
        <w:numPr>
          <w:ilvl w:val="0"/>
          <w:numId w:val="1013"/>
        </w:numPr>
        <w:pStyle w:val="Compact"/>
      </w:pPr>
      <w:r>
        <w:rPr>
          <w:bCs/>
          <w:b/>
        </w:rPr>
        <w:t xml:space="preserve">Commentary</w:t>
      </w:r>
      <w:r>
        <w:t xml:space="preserve">: 2 short papers, 750-1000 words, due Friday of Week 2 and Week 4 (20%)</w:t>
      </w:r>
    </w:p>
    <w:p>
      <w:pPr>
        <w:numPr>
          <w:ilvl w:val="0"/>
          <w:numId w:val="1013"/>
        </w:numPr>
        <w:pStyle w:val="Compact"/>
      </w:pPr>
      <w:r>
        <w:rPr>
          <w:bCs/>
          <w:b/>
        </w:rPr>
        <w:t xml:space="preserve">Research paper/report/other project</w:t>
      </w:r>
      <w:r>
        <w:t xml:space="preserve">: 2,000 words, due Friday of week 6 (20%)</w:t>
      </w:r>
    </w:p>
    <w:p>
      <w:pPr>
        <w:numPr>
          <w:ilvl w:val="0"/>
          <w:numId w:val="1013"/>
        </w:numPr>
        <w:pStyle w:val="Compact"/>
      </w:pPr>
      <w:r>
        <w:rPr>
          <w:bCs/>
          <w:b/>
        </w:rPr>
        <w:t xml:space="preserve">Colloquium</w:t>
      </w:r>
      <w:r>
        <w:t xml:space="preserve">: week 7, flexible format - slides, video/audio, web page, blog, wiki (20%)</w:t>
      </w:r>
    </w:p>
    <w:p>
      <w:pPr>
        <w:pStyle w:val="FirstParagraph"/>
      </w:pPr>
      <w:r>
        <w:rPr>
          <w:bCs/>
          <w:b/>
        </w:rPr>
        <w:t xml:space="preserve">Discussion: Agenda, Review, Reply Posts</w:t>
      </w:r>
      <w:r>
        <w:br/>
      </w:r>
      <w:r>
        <w:t xml:space="preserve">For Weeks 1-6, each of the weekly topics will be active across a cycle of two weeks.</w:t>
      </w:r>
    </w:p>
    <w:p>
      <w:pPr>
        <w:pStyle w:val="BodyText"/>
      </w:pPr>
      <w:r>
        <w:t xml:space="preserve">By the end of the day on</w:t>
      </w:r>
      <w:r>
        <w:t xml:space="preserve"> </w:t>
      </w:r>
      <w:r>
        <w:rPr>
          <w:bCs/>
          <w:b/>
        </w:rPr>
        <w:t xml:space="preserve">Monday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 Be sure to read the Agenda post before beginning the reading assignments.</w:t>
      </w:r>
    </w:p>
    <w:p>
      <w:pPr>
        <w:pStyle w:val="BodyText"/>
      </w:pPr>
      <w:r>
        <w:t xml:space="preserve">In the first week, complete the reading assignments and make an initial response post called a Review,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Commentary Papers</w:t>
      </w:r>
      <w:r>
        <w:br/>
      </w:r>
      <w:r>
        <w:t xml:space="preserve">These short papers (750-1,000 words) are due at the end of Week 2 and Week 4 (Sunday). They should consist of close analytical readings of any of the reading assignments for the period Weeks 1-2 or 3-4. You are encouraged to focus in detail on particular sections, arguments, and/or concepts from the readings and develop them.</w:t>
      </w:r>
    </w:p>
    <w:p>
      <w:pPr>
        <w:pStyle w:val="BodyText"/>
      </w:pPr>
      <w:r>
        <w:rPr>
          <w:bCs/>
          <w:b/>
        </w:rPr>
        <w:t xml:space="preserve">Research Paper/Project</w:t>
      </w:r>
      <w:r>
        <w:br/>
      </w:r>
      <w:r>
        <w:t xml:space="preserve">The culminating written assignment for the course (2,000 words) may consist of various formats: a research paper or report, or a creative project of your choice.</w:t>
      </w:r>
    </w:p>
    <w:p>
      <w:pPr>
        <w:pStyle w:val="BodyText"/>
      </w:pPr>
      <w:r>
        <w:t xml:space="preserve">A 1-page preliminary proposal with ideas for your project, with a short bibliography with sources and/or links, should be posted in the Discussion forum for the purpose by the end of Week 3, and you will receive feedback during Week 4.</w:t>
      </w:r>
    </w:p>
    <w:p>
      <w:pPr>
        <w:pStyle w:val="BodyText"/>
      </w:pPr>
      <w:r>
        <w:rPr>
          <w:bCs/>
          <w:b/>
        </w:rPr>
        <w:t xml:space="preserve">Colloquium</w:t>
      </w:r>
      <w:r>
        <w:br/>
      </w:r>
      <w:r>
        <w:t xml:space="preserve">Research papers/projects will be presented to and discussed with the group at the Colloquium scheduled over the last week of the course. Presentation formats are flexible, and may include a recorded slide presentation (20 slides max.) with voiceover; an audiovisual essay; or a web page, wiki, or blog.</w:t>
      </w:r>
    </w:p>
    <w:p>
      <w:r>
        <w:pict>
          <v:rect style="width:0;height:1.5pt" o:hralign="center" o:hrstd="t" o:hr="t"/>
        </w:pict>
      </w:r>
    </w:p>
    <w:bookmarkEnd w:id="45"/>
    <w:bookmarkStart w:id="46" w:name="bibliography"/>
    <w:p>
      <w:pPr>
        <w:pStyle w:val="Heading2"/>
      </w:pPr>
      <w:r>
        <w:t xml:space="preserve">Bibliography</w:t>
      </w:r>
    </w:p>
    <w:p>
      <w:pPr>
        <w:pStyle w:val="FirstParagraph"/>
      </w:pPr>
      <w:r>
        <w:t xml:space="preserve">[A] = Audiobook</w:t>
      </w:r>
    </w:p>
    <w:p>
      <w:pPr>
        <w:pStyle w:val="BodyText"/>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David Craig, Jian Lin, and Stuart Cunningham,</w:t>
      </w:r>
      <w:r>
        <w:t xml:space="preserve"> </w:t>
      </w:r>
      <w:r>
        <w:rPr>
          <w:iCs/>
          <w:i/>
        </w:rPr>
        <w:t xml:space="preserve">Wanghong as Social Media Entertainment in China</w:t>
      </w:r>
      <w:r>
        <w:t xml:space="preserve">. Palgrave Studies in Globalization, Culture and Society (London: Palgrave, 2021).</w:t>
      </w:r>
    </w:p>
    <w:p>
      <w:pPr>
        <w:pStyle w:val="BodyText"/>
      </w:pPr>
      <w:r>
        <w:t xml:space="preserve">Stuart Cunningham and David Craig,</w:t>
      </w:r>
      <w:r>
        <w:t xml:space="preserve"> </w:t>
      </w:r>
      <w:r>
        <w:rPr>
          <w:iCs/>
          <w:i/>
        </w:rPr>
        <w:t xml:space="preserve">Social Media Entertainment: The New Intersection of Hollywood and Silicon Valley</w:t>
      </w:r>
      <w:r>
        <w:t xml:space="preserve"> </w:t>
      </w:r>
      <w:r>
        <w:t xml:space="preserve">(New York: NYU Press, 2021).</w:t>
      </w:r>
    </w:p>
    <w:p>
      <w:pPr>
        <w:pStyle w:val="BodyText"/>
      </w:pPr>
      <w:r>
        <w:t xml:space="preserve">—, eds. </w:t>
      </w:r>
      <w:r>
        <w:rPr>
          <w:iCs/>
          <w:i/>
        </w:rPr>
        <w:t xml:space="preserve">Creator Culture: An Introduction to Global Social Media Entertainment</w:t>
      </w:r>
      <w:r>
        <w:t xml:space="preserve"> </w:t>
      </w:r>
      <w:r>
        <w:t xml:space="preserve">(New York: New York University Press, 2021).</w:t>
      </w:r>
    </w:p>
    <w:p>
      <w:pPr>
        <w:pStyle w:val="BodyText"/>
      </w:pPr>
      <w:r>
        <w:t xml:space="preserve">Byung-Chul Han,</w:t>
      </w:r>
      <w:r>
        <w:t xml:space="preserve"> </w:t>
      </w:r>
      <w:r>
        <w:rPr>
          <w:iCs/>
          <w:i/>
        </w:rPr>
        <w:t xml:space="preserve">In The Swarm: Digital Prospects</w:t>
      </w:r>
      <w:r>
        <w:t xml:space="preserve"> </w:t>
      </w:r>
      <w:r>
        <w:t xml:space="preserve">(Cambridge: MIT Press, 2017).</w:t>
      </w:r>
    </w:p>
    <w:p>
      <w:pPr>
        <w:pStyle w:val="BodyText"/>
      </w:pPr>
      <w:r>
        <w:t xml:space="preserve">[A]</w:t>
      </w:r>
      <w:r>
        <w:t xml:space="preserve"> </w:t>
      </w: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w:t>
      </w:r>
      <w:r>
        <w:t xml:space="preserve">(New York: Basic Books, 2022).</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Lev Manovich,</w:t>
      </w:r>
      <w:r>
        <w:t xml:space="preserve"> </w:t>
      </w:r>
      <w:r>
        <w:rPr>
          <w:iCs/>
          <w:i/>
        </w:rPr>
        <w:t xml:space="preserve">Instagram and Contemporary Image</w:t>
      </w:r>
      <w:r>
        <w:t xml:space="preserve"> </w:t>
      </w:r>
      <w:r>
        <w:t xml:space="preserve">(2015-17).</w:t>
      </w:r>
    </w:p>
    <w:p>
      <w:pPr>
        <w:pStyle w:val="BodyText"/>
      </w:pPr>
      <w:r>
        <w:t xml:space="preserve">[A] 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pStyle w:val="BodyText"/>
      </w:pPr>
      <w:r>
        <w:t xml:space="preserve">Kai Strittmatter,</w:t>
      </w:r>
      <w:r>
        <w:t xml:space="preserve"> </w:t>
      </w:r>
      <w:r>
        <w:rPr>
          <w:iCs/>
          <w:i/>
        </w:rPr>
        <w:t xml:space="preserve">We Have Been Harmonized: Life in China’s Surveillance State</w:t>
      </w:r>
      <w:r>
        <w:t xml:space="preserve"> </w:t>
      </w:r>
      <w:r>
        <w:t xml:space="preserve">(New York: HarperCollins, 2020).</w:t>
      </w:r>
    </w:p>
    <w:p>
      <w:pPr>
        <w:pStyle w:val="BodyText"/>
      </w:pPr>
      <w:r>
        <w:t xml:space="preserve">Zeynep Tufekci,</w:t>
      </w:r>
      <w:r>
        <w:t xml:space="preserve"> </w:t>
      </w:r>
      <w:r>
        <w:rPr>
          <w:iCs/>
          <w:i/>
        </w:rPr>
        <w:t xml:space="preserve">Twitter and Tear Gas: The Power and Fragility of Networked Protest</w:t>
      </w:r>
      <w:r>
        <w:t xml:space="preserve"> </w:t>
      </w:r>
      <w:r>
        <w:t xml:space="preserve">(New Haven: Yale University Press, 2017).</w:t>
      </w:r>
    </w:p>
    <w:p>
      <w:pPr>
        <w:pStyle w:val="BodyText"/>
      </w:pPr>
      <w:r>
        <w:t xml:space="preserve">Michele White,</w:t>
      </w:r>
      <w:r>
        <w:t xml:space="preserve"> </w:t>
      </w:r>
      <w:r>
        <w:rPr>
          <w:iCs/>
          <w:i/>
        </w:rPr>
        <w:t xml:space="preserve">Touch Screen Theory: Digital Devices and Feelings</w:t>
      </w:r>
      <w:r>
        <w:t xml:space="preserve"> </w:t>
      </w:r>
      <w:r>
        <w:t xml:space="preserve">(Cambridge, MA: MIT Press, 2022).</w:t>
      </w:r>
      <w:r>
        <w:t xml:space="preserve"> </w:t>
      </w:r>
      <w:hyperlink r:id="rId27">
        <w:r>
          <w:rPr>
            <w:rStyle w:val="Hyperlink"/>
          </w:rPr>
          <w:t xml:space="preserve">Open Access</w:t>
        </w:r>
      </w:hyperlink>
    </w:p>
    <w:p>
      <w:r>
        <w:pict>
          <v:rect style="width:0;height:1.5pt" o:hralign="center" o:hrstd="t" o:hr="t"/>
        </w:pict>
      </w:r>
    </w:p>
    <w:bookmarkEnd w:id="46"/>
    <w:bookmarkStart w:id="4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7"/>
    <w:bookmarkStart w:id="4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9"/>
    <w:bookmarkStart w:id="54" w:name="health"/>
    <w:p>
      <w:pPr>
        <w:pStyle w:val="Heading2"/>
      </w:pPr>
      <w:r>
        <w:t xml:space="preserve">Health</w:t>
      </w:r>
    </w:p>
    <w:p>
      <w:pPr>
        <w:pStyle w:val="FirstParagraph"/>
      </w:pPr>
      <w:hyperlink r:id="rId5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4"/>
    <w:bookmarkStart w:id="5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7"/>
    <w:bookmarkStart w:id="5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8"/>
    <w:bookmarkStart w:id="5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4"/>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4"/>
        </w:numPr>
      </w:pPr>
      <w:r>
        <w:t xml:space="preserve">Save work early and often: Think how much work you do in 10 minutes. I auto save every 2 minutes.</w:t>
      </w:r>
    </w:p>
    <w:p>
      <w:pPr>
        <w:numPr>
          <w:ilvl w:val="0"/>
          <w:numId w:val="1014"/>
        </w:numPr>
      </w:pPr>
      <w:r>
        <w:t xml:space="preserve">Make regular backups of files in a different location: Between Box, Google Drive, Dropbox, and iCloud, you have ample places to store and backup your materials. Use them.</w:t>
      </w:r>
    </w:p>
    <w:p>
      <w:pPr>
        <w:numPr>
          <w:ilvl w:val="0"/>
          <w:numId w:val="1014"/>
        </w:numPr>
      </w:pPr>
      <w:r>
        <w:t xml:space="preserve">Save drafts: When editing, set aside the original and work with a copy.</w:t>
      </w:r>
    </w:p>
    <w:p>
      <w:pPr>
        <w:numPr>
          <w:ilvl w:val="0"/>
          <w:numId w:val="1014"/>
        </w:numPr>
      </w:pPr>
      <w:r>
        <w:t xml:space="preserve">Practice safe computing: On your personal devices, install and use software to control viruses and malware.</w:t>
      </w:r>
    </w:p>
    <w:p>
      <w:r>
        <w:pict>
          <v:rect style="width:0;height:1.5pt" o:hralign="center" o:hrstd="t" o:hr="t"/>
        </w:pict>
      </w:r>
    </w:p>
    <w:bookmarkEnd w:id="59"/>
    <w:bookmarkStart w:id="6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0"/>
    <w:bookmarkStart w:id="66" w:name="academic-resources"/>
    <w:p>
      <w:pPr>
        <w:pStyle w:val="Heading2"/>
      </w:pPr>
      <w:r>
        <w:t xml:space="preserve">Academic Resources</w:t>
      </w:r>
    </w:p>
    <w:p>
      <w:pPr>
        <w:pStyle w:val="FirstParagraph"/>
      </w:pPr>
      <w:hyperlink r:id="rId61">
        <w:r>
          <w:rPr>
            <w:rStyle w:val="Hyperlink"/>
          </w:rPr>
          <w:t xml:space="preserve">Writing Center</w:t>
        </w:r>
      </w:hyperlink>
    </w:p>
    <w:p>
      <w:pPr>
        <w:pStyle w:val="BodyText"/>
      </w:pPr>
      <w:hyperlink r:id="rId62">
        <w:r>
          <w:rPr>
            <w:rStyle w:val="Hyperlink"/>
          </w:rPr>
          <w:t xml:space="preserve">Academic Policies</w:t>
        </w:r>
      </w:hyperlink>
    </w:p>
    <w:p>
      <w:pPr>
        <w:pStyle w:val="BodyText"/>
      </w:pPr>
      <w:hyperlink r:id="rId63">
        <w:r>
          <w:rPr>
            <w:rStyle w:val="Hyperlink"/>
          </w:rPr>
          <w:t xml:space="preserve">Disability Services</w:t>
        </w:r>
      </w:hyperlink>
    </w:p>
    <w:p>
      <w:pPr>
        <w:pStyle w:val="BodyText"/>
      </w:pPr>
      <w:hyperlink r:id="rId64">
        <w:r>
          <w:rPr>
            <w:rStyle w:val="Hyperlink"/>
          </w:rPr>
          <w:t xml:space="preserve">Fitchburg State Alert system for emergencies, snow closures/delays, and faculty absences</w:t>
        </w:r>
      </w:hyperlink>
    </w:p>
    <w:p>
      <w:pPr>
        <w:pStyle w:val="BodyText"/>
      </w:pPr>
      <w:hyperlink r:id="rId65">
        <w:r>
          <w:rPr>
            <w:rStyle w:val="Hyperlink"/>
          </w:rPr>
          <w:t xml:space="preserve">University Career Services</w:t>
        </w:r>
      </w:hyperlink>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_rels/footnotes.xml.rels><?xml version="1.0" encoding="UTF-8"?><Relationships xmlns="http://schemas.openxmlformats.org/package/2006/relationships"><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2023-06-26T05:11:50Z</dcterms:created>
  <dcterms:modified xsi:type="dcterms:W3CDTF">2023-06-26T05:11:50Z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