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Supply Report</w:t>
      </w:r>
    </w:p>
    <w:p>
      <w:pPr>
        <w:pStyle w:val="Subtitle"/>
      </w:pPr>
      <w:r>
        <w:t>Lakeside Medical Associates · Third quarter</w:t>
      </w:r>
    </w:p>
    <w:p>
      <w:pPr>
        <w:pStyle w:val="Heading1"/>
      </w:pPr>
      <w:r>
        <w:t>Supply Spending</w:t>
      </w:r>
    </w:p>
    <w:p>
      <w:r>
        <w:t>Monthly spending on supplies, in thousands of dollars: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0"/>
            </w:pPr>
            <w:r>
              <w:t>Month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Medical supplies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Office supplies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July</w:t>
            </w:r>
          </w:p>
        </w:tc>
        <w:tc>
          <w:tcPr>
            <w:tcW w:type="dxa" w:w="3120"/>
          </w:tcPr>
          <w:p>
            <w:pPr>
              <w:spacing w:after="0"/>
              <w:jc w:val="right"/>
            </w:pPr>
            <w:r>
              <w:t>12.4</w:t>
            </w:r>
          </w:p>
        </w:tc>
        <w:tc>
          <w:tcPr>
            <w:tcW w:type="dxa" w:w="3120"/>
          </w:tcPr>
          <w:p>
            <w:pPr>
              <w:spacing w:after="0"/>
              <w:jc w:val="right"/>
            </w:pPr>
            <w:r>
              <w:t>3.2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August</w:t>
            </w:r>
          </w:p>
        </w:tc>
        <w:tc>
          <w:tcPr>
            <w:tcW w:type="dxa" w:w="3120"/>
          </w:tcPr>
          <w:p>
            <w:pPr>
              <w:spacing w:after="0"/>
              <w:jc w:val="right"/>
            </w:pPr>
            <w:r>
              <w:t>13.1</w:t>
            </w:r>
          </w:p>
        </w:tc>
        <w:tc>
          <w:tcPr>
            <w:tcW w:type="dxa" w:w="3120"/>
          </w:tcPr>
          <w:p>
            <w:pPr>
              <w:spacing w:after="0"/>
              <w:jc w:val="right"/>
            </w:pPr>
            <w:r>
              <w:t>2.9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September</w:t>
            </w:r>
          </w:p>
        </w:tc>
        <w:tc>
          <w:tcPr>
            <w:tcW w:type="dxa" w:w="3120"/>
          </w:tcPr>
          <w:p>
            <w:pPr>
              <w:spacing w:after="0"/>
              <w:jc w:val="right"/>
            </w:pPr>
            <w:r>
              <w:t>15.5</w:t>
            </w:r>
          </w:p>
        </w:tc>
        <w:tc>
          <w:tcPr>
            <w:tcW w:type="dxa" w:w="3120"/>
          </w:tcPr>
          <w:p>
            <w:pPr>
              <w:spacing w:after="0"/>
              <w:jc w:val="right"/>
            </w:pPr>
            <w:r>
              <w:t>3.4</w:t>
            </w:r>
          </w:p>
        </w:tc>
      </w:tr>
    </w:tbl>
    <w:p/>
    <w:p>
      <w:r>
        <w:t>The chart below compares the two kinds of spending month by month.</w:t>
      </w:r>
    </w:p>
    <w:p/>
    <w:p/>
    <w:p>
      <w:pPr>
        <w:pStyle w:val="Heading1"/>
      </w:pPr>
      <w:r>
        <w:t>What the Numbers Show</w:t>
      </w:r>
    </w:p>
    <w:p>
      <w:r>
        <w:t>Medical supply spending rose in September because the clinic placed its flu-vaccine supply order early. Office supply spending stayed about the same each month.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Supply Report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