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a76599a03854a4b" /><Relationship Type="http://schemas.openxmlformats.org/package/2006/relationships/metadata/core-properties" Target="/docProps/core.xml" Id="Rcaeaf67436e6401c" /><Relationship Type="http://schemas.openxmlformats.org/officeDocument/2006/relationships/extended-properties" Target="/docProps/app.xml" Id="R288f8c4cd8bd492d" /><Relationship Type="http://schemas.openxmlformats.org/officeDocument/2006/relationships/custom-properties" Target="/docProps/custom.xml" Id="Ra26e4fac3cca4f8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before="0" w:after="40"/>
      </w:pPr>
      <w:r>
        <w:rPr>
          <w:rFonts w:ascii="Aptos" w:hAnsi="Aptos" w:eastAsia="Aptos"/>
          <w:color w:val="233746"/>
          <w:sz w:val="2"/>
        </w:rPr>
        <w:t xml:space="preserve"/>
      </w:r>
      <w:r>
        <w:drawing>
          <wp:inline distT="0" distB="0" distL="0" distR="0">
            <wp:extent cx="566928" cy="125534"/>
            <wp:effectExtent l="0" t="0" r="0" b="0"/>
            <wp:docPr id="1" name="Datum mark" descr="Datum ma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atum mark"/>
                    <pic:cNvPicPr/>
                  </pic:nvPicPr>
                  <pic:blipFill>
                    <a:blip r:embed="R4d4918e72fb547b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12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02" w14:textId="00100003">
      <w:pPr>
        <w:spacing w:before="0" w:after="60"/>
      </w:pPr>
      <w:r>
        <w:rPr>
          <w:rFonts w:ascii="Aptos" w:hAnsi="Aptos" w:eastAsia="Aptos"/>
          <w:b/>
          <w:color w:val="C99A35"/>
          <w:sz w:val="17"/>
        </w:rPr>
        <w:t xml:space="preserve">DATUM SYNC · PRODUCT OVERVIEW</w:t>
      </w:r>
    </w:p>
    <w:p w14:paraId="00100004" w14:textId="00100005">
      <w:pPr>
        <w:spacing w:before="0" w:after="0"/>
      </w:pPr>
      <w:r>
        <w:rPr>
          <w:rFonts w:ascii="Aptos" w:hAnsi="Aptos" w:eastAsia="Aptos"/>
          <w:b/>
          <w:color w:val="172633"/>
          <w:sz w:val="54"/>
        </w:rPr>
        <w:t xml:space="preserve">Govern every agent.</w:t>
      </w:r>
    </w:p>
    <w:p w14:paraId="00100006" w14:textId="00100007">
      <w:pPr>
        <w:spacing w:before="0" w:after="80"/>
      </w:pPr>
      <w:r>
        <w:rPr>
          <w:rFonts w:ascii="Aptos" w:hAnsi="Aptos" w:eastAsia="Aptos"/>
          <w:b/>
          <w:color w:val="244B6B"/>
          <w:sz w:val="54"/>
        </w:rPr>
        <w:t xml:space="preserve">Keep every worker lightweight.</w:t>
      </w:r>
    </w:p>
    <w:p w14:paraId="00100008" w14:textId="00100009">
      <w:pPr>
        <w:spacing w:before="0" w:after="100"/>
      </w:pPr>
      <w:r>
        <w:rPr>
          <w:rFonts w:ascii="Aptos" w:hAnsi="Aptos" w:eastAsia="Aptos"/>
          <w:color w:val="667085"/>
          <w:sz w:val="22"/>
        </w:rPr>
        <w:t xml:space="preserve">A single authority plane for agent identity, MCP access, managed credentials, deterministic evidence and reusable artifacts.</w:t>
      </w:r>
    </w:p>
    <w:p w14:paraId="0010000A" w14:textId="0010000B">
      <w:pPr>
        <w:spacing w:before="0" w:after="60"/>
        <w:jc w:val="center"/>
      </w:pPr>
      <w:r>
        <w:rPr>
          <w:rFonts w:ascii="Aptos" w:hAnsi="Aptos" w:eastAsia="Aptos"/>
          <w:color w:val="233746"/>
          <w:sz w:val="2"/>
        </w:rPr>
        <w:t xml:space="preserve"/>
      </w:r>
      <w:r>
        <w:drawing>
          <wp:inline distT="0" distB="0" distL="0" distR="0">
            <wp:extent cx="6903720" cy="4314825"/>
            <wp:effectExtent l="0" t="0" r="0" b="0"/>
            <wp:docPr id="2" name="Connected Datum worker showing the Researcher agent, ready chat composer, governed tools and inspection pane" descr="Connected Datum worker showing the Researcher agent, ready chat composer, governed tools and inspection pa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Connected Datum worker showing the Researcher agent, ready chat composer, governed tools and inspection pane"/>
                    <pic:cNvPicPr/>
                  </pic:nvPicPr>
                  <pic:blipFill>
                    <a:blip r:embed="R1219175a1206484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aption w:val="Datum Sync brochure panel"/>
      </w:tblPr>
      <w:tblGrid>
        <w:gridCol w:w="2700"/>
        <w:gridCol w:w="2700"/>
        <w:gridCol w:w="2700"/>
        <w:gridCol w:w="2700"/>
      </w:tblGrid>
      <w:tr>
        <w:trPr/>
        <w:tc>
          <w:tcPr>
            <w:shd w:val="clear" w:fill="172633"/>
          </w:tcPr>
          <w:p w14:paraId="0010000C" w14:textId="00100015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 xml:space="preserve">AGENTS</w:t>
              <w:br/>
              <w:t xml:space="preserve">Permission-bound personas</w:t>
            </w:r>
          </w:p>
        </w:tc>
        <w:tc>
          <w:tcPr>
            <w:shd w:val="clear" w:fill="172633"/>
          </w:tcPr>
          <w:p w14:paraId="0010000E" w14:textId="00100017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 xml:space="preserve">MCP</w:t>
              <w:br/>
              <w:t xml:space="preserve">One governed route</w:t>
            </w:r>
          </w:p>
        </w:tc>
        <w:tc>
          <w:tcPr>
            <w:shd w:val="clear" w:fill="172633"/>
          </w:tcPr>
          <w:p w14:paraId="00100010" w14:textId="00100019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 xml:space="preserve">SECRETS</w:t>
              <w:br/>
              <w:t xml:space="preserve">Never exposed to workers</w:t>
            </w:r>
          </w:p>
        </w:tc>
        <w:tc>
          <w:tcPr>
            <w:shd w:val="clear" w:fill="172633"/>
          </w:tcPr>
          <w:p w14:paraId="00100012" w14:textId="0010001B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 xml:space="preserve">ARTIFACTS</w:t>
              <w:br/>
              <w:t xml:space="preserve">Durable and shareable</w:t>
            </w:r>
          </w:p>
        </w:tc>
      </w:tr>
    </w:tbl>
    <w:p w14:paraId="0010001C" w14:textId="0010001D">
      <w:r>
        <w:br w:type="page"/>
      </w:r>
    </w:p>
    <w:p w14:paraId="0010001E" w14:textId="0010001F">
      <w:pPr>
        <w:spacing w:before="0" w:after="60"/>
      </w:pPr>
      <w:r>
        <w:rPr>
          <w:rFonts w:ascii="Aptos" w:hAnsi="Aptos" w:eastAsia="Aptos"/>
          <w:b/>
          <w:color w:val="C99A35"/>
          <w:sz w:val="17"/>
        </w:rPr>
        <w:t xml:space="preserve">01 · AGENT FLEET</w:t>
      </w:r>
    </w:p>
    <w:p w14:paraId="00100020" w14:textId="00100021">
      <w:pPr>
        <w:spacing w:before="0" w:after="40"/>
      </w:pPr>
      <w:r>
        <w:rPr>
          <w:rFonts w:ascii="Aptos" w:hAnsi="Aptos" w:eastAsia="Aptos"/>
          <w:b/>
          <w:color w:val="172633"/>
          <w:sz w:val="46"/>
        </w:rPr>
        <w:t xml:space="preserve">An agent is a governed bundle</w:t>
      </w:r>
    </w:p>
    <w:p w14:paraId="00100022" w14:textId="00100023">
      <w:pPr>
        <w:spacing w:before="0" w:after="140"/>
      </w:pPr>
      <w:r>
        <w:rPr>
          <w:rFonts w:ascii="Aptos" w:hAnsi="Aptos" w:eastAsia="Aptos"/>
          <w:color w:val="667085"/>
          <w:sz w:val="21"/>
        </w:rPr>
        <w:t xml:space="preserve">Users connect to a ready persona. Datum Sync supplies the identity, prompt, tools, credentials and limits behind it.</w:t>
      </w:r>
    </w:p>
    <w:p w14:paraId="00100024" w14:textId="00100025">
      <w:pPr>
        <w:spacing w:before="0" w:after="80"/>
        <w:jc w:val="center"/>
      </w:pPr>
      <w:r>
        <w:rPr>
          <w:rFonts w:ascii="Aptos" w:hAnsi="Aptos" w:eastAsia="Aptos"/>
          <w:color w:val="233746"/>
          <w:sz w:val="2"/>
        </w:rPr>
        <w:t xml:space="preserve"/>
      </w:r>
      <w:r>
        <w:drawing>
          <wp:inline distT="0" distB="0" distL="0" distR="0">
            <wp:extent cx="7909560" cy="4943475"/>
            <wp:effectExtent l="0" t="0" r="0" b="0"/>
            <wp:docPr id="3" name="Principals screen showing Manager, Developer, Researcher, Designer, Security, GIS Analyst and Data Enginer" descr="Principals screen showing Manager, Developer, Researcher, Designer, Security, GIS Analyst and Data Engi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rincipals screen showing Manager, Developer, Researcher, Designer, Security, GIS Analyst and Data Enginer"/>
                    <pic:cNvPicPr/>
                  </pic:nvPicPr>
                  <pic:blipFill>
                    <a:blip r:embed="R380782a9272349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aption w:val="Datum Sync brochure panel"/>
      </w:tblPr>
      <w:tblGrid>
        <w:gridCol w:w="2700"/>
        <w:gridCol w:w="2700"/>
        <w:gridCol w:w="2700"/>
        <w:gridCol w:w="2700"/>
      </w:tblGrid>
      <w:tr>
        <w:trPr/>
        <w:tc>
          <w:tcPr>
            <w:shd w:val="clear" w:fill="172633"/>
          </w:tcPr>
          <w:p w14:paraId="00100026" w14:textId="0010002F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 xml:space="preserve">CONNECT</w:t>
              <w:br/>
              <w:t xml:space="preserve">Choose an approved persona in the worker</w:t>
            </w:r>
          </w:p>
        </w:tc>
        <w:tc>
          <w:tcPr>
            <w:shd w:val="clear" w:fill="244B6B"/>
          </w:tcPr>
          <w:p w14:paraId="00100028" w14:textId="00100031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 xml:space="preserve">AUTHORIZE</w:t>
              <w:br/>
              <w:t xml:space="preserve">Issue a short-lived principal session</w:t>
            </w:r>
          </w:p>
        </w:tc>
        <w:tc>
          <w:tcPr>
            <w:shd w:val="clear" w:fill="172633"/>
          </w:tcPr>
          <w:p w14:paraId="0010002A" w14:textId="00100033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 xml:space="preserve">EVALUATE</w:t>
              <w:br/>
              <w:t xml:space="preserve">Recheck tool and credential policy on every call</w:t>
            </w:r>
          </w:p>
        </w:tc>
        <w:tc>
          <w:tcPr>
            <w:shd w:val="clear" w:fill="244B6B"/>
          </w:tcPr>
          <w:p w14:paraId="0010002C" w14:textId="00100035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 xml:space="preserve">OPERATE</w:t>
              <w:br/>
              <w:t xml:space="preserve">Review, restrict or revoke from one portal</w:t>
            </w:r>
          </w:p>
        </w:tc>
      </w:tr>
    </w:tbl>
    <w:p w14:paraId="00100036" w14:textId="00100037">
      <w:pPr>
        <w:spacing w:before="60" w:after="0"/>
        <w:jc w:val="center"/>
      </w:pPr>
      <w:r>
        <w:rPr>
          <w:rFonts w:ascii="Aptos" w:hAnsi="Aptos" w:eastAsia="Aptos"/>
          <w:b/>
          <w:color w:val="244B6B"/>
          <w:sz w:val="18"/>
        </w:rPr>
        <w:t xml:space="preserve">Seven demo personas prove the single-user fleet model today; the existing parent-owner boundary provides the path to separate user fleets.</w:t>
      </w:r>
    </w:p>
    <w:p w14:paraId="00100038" w14:textId="00100039">
      <w:r>
        <w:br w:type="page"/>
      </w:r>
    </w:p>
    <w:p w14:paraId="0010003A" w14:textId="0010003B">
      <w:pPr>
        <w:spacing w:before="0" w:after="60"/>
      </w:pPr>
      <w:r>
        <w:rPr>
          <w:rFonts w:ascii="Aptos" w:hAnsi="Aptos" w:eastAsia="Aptos"/>
          <w:b/>
          <w:color w:val="C99A35"/>
          <w:sz w:val="17"/>
        </w:rPr>
        <w:t xml:space="preserve">02 · GOVERNED ACCESS</w:t>
      </w:r>
    </w:p>
    <w:p w14:paraId="0010003C" w14:textId="0010003D">
      <w:pPr>
        <w:spacing w:before="0" w:after="40"/>
      </w:pPr>
      <w:r>
        <w:rPr>
          <w:rFonts w:ascii="Aptos" w:hAnsi="Aptos" w:eastAsia="Aptos"/>
          <w:b/>
          <w:color w:val="172633"/>
          <w:sz w:val="46"/>
        </w:rPr>
        <w:t xml:space="preserve">One route for MCP and credentials</w:t>
      </w:r>
    </w:p>
    <w:p w14:paraId="0010003E" w14:textId="0010003F">
      <w:pPr>
        <w:spacing w:before="0" w:after="140"/>
      </w:pPr>
      <w:r>
        <w:rPr>
          <w:rFonts w:ascii="Aptos" w:hAnsi="Aptos" w:eastAsia="Aptos"/>
          <w:color w:val="667085"/>
          <w:sz w:val="21"/>
        </w:rPr>
        <w:t xml:space="preserve">OfficeCLI, PostgreSQL and Datum Harness capabilities are registered once, then exposed per agent through the Datum Sync gateway.</w:t>
      </w:r>
    </w:p>
    <w:p w14:paraId="00100040" w14:textId="00100041">
      <w:pPr>
        <w:spacing w:before="0" w:after="60"/>
        <w:jc w:val="center"/>
      </w:pPr>
      <w:r>
        <w:rPr>
          <w:rFonts w:ascii="Aptos" w:hAnsi="Aptos" w:eastAsia="Aptos"/>
          <w:color w:val="233746"/>
          <w:sz w:val="2"/>
        </w:rPr>
        <w:t xml:space="preserve"/>
      </w:r>
      <w:r>
        <w:drawing>
          <wp:inline distT="0" distB="0" distL="0" distR="0">
            <wp:extent cx="4773168" cy="2983230"/>
            <wp:effectExtent l="0" t="0" r="0" b="0"/>
            <wp:docPr id="4" name="Secrets and Proxies registry with MCP servers, tools and managed service identities" descr="Secrets and Proxies registry with MCP servers, tools and managed service identit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Secrets and Proxies registry with MCP servers, tools and managed service identities"/>
                    <pic:cNvPicPr/>
                  </pic:nvPicPr>
                  <pic:blipFill>
                    <a:blip r:embed="R6c493ca6b6f34fe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773168" cy="2983230"/>
            <wp:effectExtent l="0" t="0" r="0" b="0"/>
            <wp:docPr id="5" name="MCP Activity view with deterministic connection, authorization, dispatch and completion records" descr="MCP Activity view with deterministic connection, authorization, dispatch and completion reco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MCP Activity view with deterministic connection, authorization, dispatch and completion records"/>
                    <pic:cNvPicPr/>
                  </pic:nvPicPr>
                  <pic:blipFill>
                    <a:blip r:embed="Rab0bf86be1d94bf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aption w:val="Datum Sync brochure panel"/>
      </w:tblPr>
      <w:tblGrid>
        <w:gridCol w:w="2500"/>
        <w:gridCol w:w="2900"/>
        <w:gridCol w:w="3000"/>
        <w:gridCol w:w="2400"/>
      </w:tblGrid>
      <w:tr>
        <w:trPr/>
        <w:tc>
          <w:tcPr>
            <w:shd w:val="clear" w:fill="F5F2E9"/>
          </w:tcPr>
          <w:p w14:paraId="00100042" w14:textId="0010004B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233746"/>
                <w:sz w:val="18"/>
              </w:rPr>
              <w:t xml:space="preserve">REGISTER</w:t>
              <w:br/>
              <w:t xml:space="preserve">Add endpoints and discover tools</w:t>
            </w:r>
          </w:p>
        </w:tc>
        <w:tc>
          <w:tcPr>
            <w:shd w:val="clear" w:fill="E8EEF2"/>
          </w:tcPr>
          <w:p w14:paraId="00100044" w14:textId="0010004D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233746"/>
                <w:sz w:val="18"/>
              </w:rPr>
              <w:t xml:space="preserve">GRANT</w:t>
              <w:br/>
              <w:t xml:space="preserve">Bind selected tools and service identities to an agent</w:t>
            </w:r>
          </w:p>
        </w:tc>
        <w:tc>
          <w:tcPr>
            <w:shd w:val="clear" w:fill="F5F2E9"/>
          </w:tcPr>
          <w:p w14:paraId="00100046" w14:textId="0010004F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233746"/>
                <w:sz w:val="18"/>
              </w:rPr>
              <w:t xml:space="preserve">TRACE</w:t>
              <w:br/>
              <w:t xml:space="preserve">Record the endpoint flow without prompts, arguments or results</w:t>
            </w:r>
          </w:p>
        </w:tc>
        <w:tc>
          <w:tcPr>
            <w:shd w:val="clear" w:fill="E8EEF2"/>
          </w:tcPr>
          <w:p w14:paraId="00100048" w14:textId="00100051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233746"/>
                <w:sz w:val="18"/>
              </w:rPr>
              <w:t xml:space="preserve">REVOKE</w:t>
              <w:br/>
              <w:t xml:space="preserve">Disable a tool, server or grant before the next call</w:t>
            </w:r>
          </w:p>
        </w:tc>
      </w:tr>
    </w:tbl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aption w:val="Visible and protected MCP data"/>
      </w:tblPr>
      <w:tblGrid>
        <w:gridCol w:w="5400"/>
        <w:gridCol w:w="5400"/>
      </w:tblGrid>
      <w:tr>
        <w:trPr/>
        <w:tc>
          <w:tcPr>
            <w:shd w:val="clear" w:fill="172633"/>
          </w:tcPr>
          <w:p w14:paraId="00100052" w14:textId="00100057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OPERATOR VISIBILITY</w:t>
              <w:br/>
              <w:t xml:space="preserve">Server and tool state · auth type · credential fingerprint and version · effective agents · decision timing</w:t>
            </w:r>
          </w:p>
        </w:tc>
        <w:tc>
          <w:tcPr>
            <w:shd w:val="clear" w:fill="244B6B"/>
          </w:tcPr>
          <w:p w14:paraId="00100054" w14:textId="00100059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PROTECTED BY DESIGN</w:t>
              <w:br/>
              <w:t xml:space="preserve">No secret values · no prompts · no tool arguments · no database rows · no returned document text</w:t>
            </w:r>
          </w:p>
        </w:tc>
      </w:tr>
    </w:tbl>
    <w:p w14:paraId="0010005A" w14:textId="0010005B">
      <w:pPr>
        <w:spacing w:before="60" w:after="0"/>
        <w:jc w:val="center"/>
      </w:pPr>
      <w:r>
        <w:rPr>
          <w:rFonts w:ascii="Aptos" w:hAnsi="Aptos" w:eastAsia="Aptos"/>
          <w:b/>
          <w:color w:val="244B6B"/>
          <w:sz w:val="18"/>
        </w:rPr>
        <w:t xml:space="preserve">Operators see labels, fingerprints, versions, effective agents and use state. Upstream credential values never enter the browser, model context or worker process.</w:t>
      </w:r>
    </w:p>
    <w:p w14:paraId="0010005C" w14:textId="0010005D">
      <w:r>
        <w:br w:type="page"/>
      </w:r>
    </w:p>
    <w:p w14:paraId="0010005E" w14:textId="0010005F">
      <w:pPr>
        <w:spacing w:before="0" w:after="60"/>
      </w:pPr>
      <w:r>
        <w:rPr>
          <w:rFonts w:ascii="Aptos" w:hAnsi="Aptos" w:eastAsia="Aptos"/>
          <w:b/>
          <w:color w:val="C99A35"/>
          <w:sz w:val="17"/>
        </w:rPr>
        <w:t xml:space="preserve">03 · GOVERNED OUTPUTS</w:t>
      </w:r>
    </w:p>
    <w:p w14:paraId="00100060" w14:textId="00100061">
      <w:pPr>
        <w:spacing w:before="0" w:after="40"/>
      </w:pPr>
      <w:r>
        <w:rPr>
          <w:rFonts w:ascii="Aptos" w:hAnsi="Aptos" w:eastAsia="Aptos"/>
          <w:b/>
          <w:color w:val="172633"/>
          <w:sz w:val="46"/>
        </w:rPr>
        <w:t xml:space="preserve">Artifacts become shared resources</w:t>
      </w:r>
    </w:p>
    <w:p w14:paraId="00100062" w14:textId="00100063">
      <w:pPr>
        <w:spacing w:before="0" w:after="140"/>
      </w:pPr>
      <w:r>
        <w:rPr>
          <w:rFonts w:ascii="Aptos" w:hAnsi="Aptos" w:eastAsia="Aptos"/>
          <w:color w:val="667085"/>
          <w:sz w:val="21"/>
        </w:rPr>
        <w:t xml:space="preserve">A worker can place generated output in a pane, save it through Datum Sync and share it with another named agent without copying files through chat.</w:t>
      </w:r>
    </w:p>
    <w:p w14:paraId="00100064" w14:textId="00100065">
      <w:pPr>
        <w:spacing w:before="0" w:after="60"/>
        <w:jc w:val="center"/>
      </w:pPr>
      <w:r>
        <w:rPr>
          <w:rFonts w:ascii="Aptos" w:hAnsi="Aptos" w:eastAsia="Aptos"/>
          <w:color w:val="233746"/>
          <w:sz w:val="2"/>
        </w:rPr>
        <w:t xml:space="preserve"/>
      </w:r>
      <w:r>
        <w:drawing>
          <wp:inline distT="0" distB="0" distL="0" distR="0">
            <wp:extent cx="4773168" cy="2983230"/>
            <wp:effectExtent l="0" t="0" r="0" b="0"/>
            <wp:docPr id="6" name="Datum worker split pane showing a governed HTML artifact beside the conversation" descr="Datum worker split pane showing a governed HTML artifact beside the convers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atum worker split pane showing a governed HTML artifact beside the conversation"/>
                    <pic:cNvPicPr/>
                  </pic:nvPicPr>
                  <pic:blipFill>
                    <a:blip r:embed="Rf097c4723ce443e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773168" cy="2983230"/>
            <wp:effectExtent l="0" t="0" r="0" b="0"/>
            <wp:docPr id="7" name="Datum Sync resource inventory showing ownership, metadata and a Designer share" descr="Datum Sync resource inventory showing ownership, metadata and a Designer sh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atum Sync resource inventory showing ownership, metadata and a Designer share"/>
                    <pic:cNvPicPr/>
                  </pic:nvPicPr>
                  <pic:blipFill>
                    <a:blip r:embed="Rf5e5527bcc4248e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aption w:val="Datum Sync brochure panel"/>
      </w:tblPr>
      <w:tblGrid>
        <w:gridCol w:w="2700"/>
        <w:gridCol w:w="2700"/>
        <w:gridCol w:w="2700"/>
        <w:gridCol w:w="2700"/>
      </w:tblGrid>
      <w:tr>
        <w:trPr/>
        <w:tc>
          <w:tcPr>
            <w:shd w:val="clear" w:fill="172633"/>
          </w:tcPr>
          <w:p w14:paraId="00100066" w14:textId="0010006F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1 · CREATE</w:t>
              <w:br/>
              <w:t xml:space="preserve">Private to the producing agent</w:t>
            </w:r>
          </w:p>
        </w:tc>
        <w:tc>
          <w:tcPr>
            <w:shd w:val="clear" w:fill="244B6B"/>
          </w:tcPr>
          <w:p w14:paraId="00100068" w14:textId="00100071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2 · INSPECT</w:t>
              <w:br/>
              <w:t xml:space="preserve">Preview in split or focused pane</w:t>
            </w:r>
          </w:p>
        </w:tc>
        <w:tc>
          <w:tcPr>
            <w:shd w:val="clear" w:fill="172633"/>
          </w:tcPr>
          <w:p w14:paraId="0010006A" w14:textId="00100073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3 · SHARE</w:t>
              <w:br/>
              <w:t xml:space="preserve">Named, time-bounded read access</w:t>
            </w:r>
          </w:p>
        </w:tc>
        <w:tc>
          <w:tcPr>
            <w:shd w:val="clear" w:fill="244B6B"/>
          </w:tcPr>
          <w:p w14:paraId="0010006C" w14:textId="00100075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4 · REVOKE</w:t>
              <w:br/>
              <w:t xml:space="preserve">Effective on the next list or read</w:t>
            </w:r>
          </w:p>
        </w:tc>
      </w:tr>
    </w:tbl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aption w:val="Governed resource properties"/>
      </w:tblPr>
      <w:tblGrid>
        <w:gridCol w:w="5400"/>
        <w:gridCol w:w="5400"/>
      </w:tblGrid>
      <w:tr>
        <w:trPr/>
        <w:tc>
          <w:tcPr>
            <w:shd w:val="clear" w:fill="F5F2E9"/>
          </w:tcPr>
          <w:p w14:paraId="00100076" w14:textId="0010007B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233746"/>
                <w:sz w:val="18"/>
              </w:rPr>
              <w:t xml:space="preserve">DURABLE BY DESIGN</w:t>
              <w:br/>
              <w:t xml:space="preserve">Immutable versions retain ownership, logical path, content hash, MIME type, source trace and expiry.</w:t>
            </w:r>
          </w:p>
        </w:tc>
        <w:tc>
          <w:tcPr>
            <w:shd w:val="clear" w:fill="E8EEF2"/>
          </w:tcPr>
          <w:p w14:paraId="00100078" w14:textId="0010007D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233746"/>
                <w:sz w:val="18"/>
              </w:rPr>
              <w:t xml:space="preserve">SAFE BY DEFAULT</w:t>
              <w:br/>
              <w:t xml:space="preserve">Resources start private. Named shares are read-only and HTML previews run inside a restricted sandbox.</w:t>
            </w:r>
          </w:p>
        </w:tc>
      </w:tr>
    </w:tbl>
    <w:p w14:paraId="0010007E" w14:textId="0010007F">
      <w:pPr>
        <w:spacing w:before="60" w:after="0"/>
        <w:jc w:val="center"/>
      </w:pPr>
      <w:r>
        <w:rPr>
          <w:rFonts w:ascii="Aptos" w:hAnsi="Aptos" w:eastAsia="Aptos"/>
          <w:b/>
          <w:color w:val="244B6B"/>
          <w:sz w:val="18"/>
        </w:rPr>
        <w:t xml:space="preserve">Each immutable version carries an owner, logical path, content hash, MIME type, source trace and expiry. HTML previews run in a restricted sandbox.</w:t>
      </w:r>
    </w:p>
    <w:p w14:paraId="00100080" w14:textId="00100081">
      <w:r>
        <w:br w:type="page"/>
      </w:r>
    </w:p>
    <w:p w14:paraId="00100082" w14:textId="00100083">
      <w:pPr>
        <w:spacing w:before="0" w:after="60"/>
      </w:pPr>
      <w:r>
        <w:rPr>
          <w:rFonts w:ascii="Aptos" w:hAnsi="Aptos" w:eastAsia="Aptos"/>
          <w:b/>
          <w:color w:val="C99A35"/>
          <w:sz w:val="17"/>
        </w:rPr>
        <w:t xml:space="preserve">04 · DEMONSTRATION</w:t>
      </w:r>
    </w:p>
    <w:p w14:paraId="00100084" w14:textId="00100085">
      <w:pPr>
        <w:spacing w:before="0" w:after="40"/>
      </w:pPr>
      <w:r>
        <w:rPr>
          <w:rFonts w:ascii="Aptos" w:hAnsi="Aptos" w:eastAsia="Aptos"/>
          <w:b/>
          <w:color w:val="172633"/>
          <w:sz w:val="46"/>
        </w:rPr>
        <w:t xml:space="preserve">Show the complete control loop in ten minutes</w:t>
      </w:r>
    </w:p>
    <w:p w14:paraId="00100086" w14:textId="00100087">
      <w:pPr>
        <w:spacing w:before="0" w:after="140"/>
      </w:pPr>
      <w:r>
        <w:rPr>
          <w:rFonts w:ascii="Aptos" w:hAnsi="Aptos" w:eastAsia="Aptos"/>
          <w:color w:val="667085"/>
          <w:sz w:val="21"/>
        </w:rPr>
        <w:t xml:space="preserve">Move between the operator portal and federated worker to make each policy decision visible and immediate.</w:t>
      </w:r>
    </w:p>
    <w:p w14:paraId="00100088" w14:textId="00100089">
      <w:pPr>
        <w:spacing w:before="0" w:after="60"/>
        <w:jc w:val="center"/>
      </w:pPr>
      <w:r>
        <w:rPr>
          <w:rFonts w:ascii="Aptos" w:hAnsi="Aptos" w:eastAsia="Aptos"/>
          <w:color w:val="233746"/>
          <w:sz w:val="2"/>
        </w:rPr>
        <w:t xml:space="preserve"/>
      </w:r>
      <w:r>
        <w:drawing>
          <wp:inline distT="0" distB="0" distL="0" distR="0">
            <wp:extent cx="3154680" cy="1971675"/>
            <wp:effectExtent l="0" t="0" r="0" b="0"/>
            <wp:docPr id="8" name="Datum Sync operator overview" descr="Datum Sync operator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atum Sync operator overview"/>
                    <pic:cNvPicPr/>
                  </pic:nvPicPr>
                  <pic:blipFill>
                    <a:blip r:embed="R00bae44f34b94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154680" cy="1971675"/>
            <wp:effectExtent l="0" t="0" r="0" b="0"/>
            <wp:docPr id="9" name="Connected Researcher worker" descr="Connected Researcher work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Connected Researcher worker"/>
                    <pic:cNvPicPr/>
                  </pic:nvPicPr>
                  <pic:blipFill>
                    <a:blip r:embed="R568eec41703b4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154680" cy="1971675"/>
            <wp:effectExtent l="0" t="0" r="0" b="0"/>
            <wp:docPr id="10" name="Focused governed artifact pane" descr="Focused governed artifact pa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Focused governed artifact pane"/>
                    <pic:cNvPicPr/>
                  </pic:nvPicPr>
                  <pic:blipFill>
                    <a:blip r:embed="R48d2c9f77e9747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aption w:val="Ten-minute Datum Sync demonstration sequence"/>
      </w:tblPr>
      <w:tblGrid>
        <w:gridCol w:w="650"/>
        <w:gridCol w:w="2500"/>
        <w:gridCol w:w="7650"/>
      </w:tblGrid>
      <w:tr>
        <w:trPr/>
        <w:tc>
          <w:tcPr>
            <w:shd w:val="clear" w:fill="C99A35"/>
          </w:tcPr>
          <w:p w14:paraId="0010008A" w14:textId="001000A9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172633"/>
                <w:sz w:val="18"/>
              </w:rPr>
              <w:t xml:space="preserve">01</w:t>
            </w:r>
          </w:p>
        </w:tc>
        <w:tc>
          <w:tcPr>
            <w:shd w:val="clear" w:fill="F5F2E9"/>
          </w:tcPr>
          <w:p w14:paraId="0010008C" w14:textId="001000AB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172633"/>
                <w:sz w:val="18"/>
              </w:rPr>
              <w:t xml:space="preserve">Connect Researcher</w:t>
            </w:r>
          </w:p>
        </w:tc>
        <w:tc>
          <w:tcPr>
            <w:shd w:val="clear" w:fill="E8EEF2"/>
          </w:tcPr>
          <w:p w14:paraId="0010008E" w14:textId="001000AD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233746"/>
                <w:sz w:val="18"/>
              </w:rPr>
              <w:t xml:space="preserve">Choose a 15-minute demo or 2, 4, or 8-hour session; the composer is ready immediately.</w:t>
            </w:r>
          </w:p>
        </w:tc>
      </w:tr>
      <w:tr>
        <w:trPr/>
        <w:tc>
          <w:tcPr>
            <w:shd w:val="clear" w:fill="C99A35"/>
          </w:tcPr>
          <w:p w14:paraId="00100090" w14:textId="001000AF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172633"/>
                <w:sz w:val="18"/>
              </w:rPr>
              <w:t xml:space="preserve">02</w:t>
            </w:r>
          </w:p>
        </w:tc>
        <w:tc>
          <w:tcPr>
            <w:shd w:val="clear" w:fill="F5F2E9"/>
          </w:tcPr>
          <w:p w14:paraId="00100092" w14:textId="001000B1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172633"/>
                <w:sz w:val="18"/>
              </w:rPr>
              <w:t xml:space="preserve">Call a real MCP tool</w:t>
            </w:r>
          </w:p>
        </w:tc>
        <w:tc>
          <w:tcPr>
            <w:shd w:val="clear" w:fill="E8EEF2"/>
          </w:tcPr>
          <w:p w14:paraId="00100094" w14:textId="001000B3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233746"/>
                <w:sz w:val="18"/>
              </w:rPr>
              <w:t xml:space="preserve">Ask for an Auckland PostgreSQL summary or an OfficeCLI document listing.</w:t>
            </w:r>
          </w:p>
        </w:tc>
      </w:tr>
      <w:tr>
        <w:trPr/>
        <w:tc>
          <w:tcPr>
            <w:shd w:val="clear" w:fill="C99A35"/>
          </w:tcPr>
          <w:p w14:paraId="00100096" w14:textId="001000B5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172633"/>
                <w:sz w:val="18"/>
              </w:rPr>
              <w:t xml:space="preserve">03</w:t>
            </w:r>
          </w:p>
        </w:tc>
        <w:tc>
          <w:tcPr>
            <w:shd w:val="clear" w:fill="F5F2E9"/>
          </w:tcPr>
          <w:p w14:paraId="00100098" w14:textId="001000B7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172633"/>
                <w:sz w:val="18"/>
              </w:rPr>
              <w:t xml:space="preserve">Inspect the evidence</w:t>
            </w:r>
          </w:p>
        </w:tc>
        <w:tc>
          <w:tcPr>
            <w:shd w:val="clear" w:fill="E8EEF2"/>
          </w:tcPr>
          <w:p w14:paraId="0010009A" w14:textId="001000B9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233746"/>
                <w:sz w:val="18"/>
              </w:rPr>
              <w:t xml:space="preserve">Open MCP Activity and follow authentication, policy, dispatch and completion.</w:t>
            </w:r>
          </w:p>
        </w:tc>
      </w:tr>
      <w:tr>
        <w:trPr/>
        <w:tc>
          <w:tcPr>
            <w:shd w:val="clear" w:fill="C99A35"/>
          </w:tcPr>
          <w:p w14:paraId="0010009C" w14:textId="001000BB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172633"/>
                <w:sz w:val="18"/>
              </w:rPr>
              <w:t xml:space="preserve">04</w:t>
            </w:r>
          </w:p>
        </w:tc>
        <w:tc>
          <w:tcPr>
            <w:shd w:val="clear" w:fill="F5F2E9"/>
          </w:tcPr>
          <w:p w14:paraId="0010009E" w14:textId="001000BD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172633"/>
                <w:sz w:val="18"/>
              </w:rPr>
              <w:t xml:space="preserve">Prove control</w:t>
            </w:r>
          </w:p>
        </w:tc>
        <w:tc>
          <w:tcPr>
            <w:shd w:val="clear" w:fill="E8EEF2"/>
          </w:tcPr>
          <w:p w14:paraId="001000A0" w14:textId="001000BF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233746"/>
                <w:sz w:val="18"/>
              </w:rPr>
              <w:t xml:space="preserve">Disable a tool or revoke a credential grant, repeat the request, then restore it.</w:t>
            </w:r>
          </w:p>
        </w:tc>
      </w:tr>
      <w:tr>
        <w:trPr/>
        <w:tc>
          <w:tcPr>
            <w:shd w:val="clear" w:fill="C99A35"/>
          </w:tcPr>
          <w:p w14:paraId="001000A2" w14:textId="001000C1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172633"/>
                <w:sz w:val="18"/>
              </w:rPr>
              <w:t xml:space="preserve">05</w:t>
            </w:r>
          </w:p>
        </w:tc>
        <w:tc>
          <w:tcPr>
            <w:shd w:val="clear" w:fill="F5F2E9"/>
          </w:tcPr>
          <w:p w14:paraId="001000A4" w14:textId="001000C3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172633"/>
                <w:sz w:val="18"/>
              </w:rPr>
              <w:t xml:space="preserve">Create and share</w:t>
            </w:r>
          </w:p>
        </w:tc>
        <w:tc>
          <w:tcPr>
            <w:shd w:val="clear" w:fill="E8EEF2"/>
          </w:tcPr>
          <w:p w14:paraId="001000A6" w14:textId="001000C5">
            <w:pPr>
              <w:spacing w:before="0" w:after="0"/>
              <w:jc w:val="left"/>
            </w:pPr>
            <w:r>
              <w:rPr>
                <w:rFonts w:ascii="Aptos" w:hAnsi="Aptos" w:eastAsia="Aptos"/>
                <w:b w:val="false"/>
                <w:color w:val="233746"/>
                <w:sz w:val="18"/>
              </w:rPr>
              <w:t xml:space="preserve">Save an HTML artifact, focus its pane, share it with Designer, then revoke access.</w:t>
            </w:r>
          </w:p>
        </w:tc>
      </w:tr>
    </w:tbl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aption w:val="Local demonstration start command"/>
      </w:tblPr>
      <w:tblGrid>
        <w:gridCol w:w="10800"/>
      </w:tblGrid>
      <w:tr>
        <w:trPr/>
        <w:tc>
          <w:tcPr>
            <w:shd w:val="clear" w:fill="172633"/>
          </w:tcPr>
          <w:p w14:paraId="001000C6" w14:textId="001000C9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 xml:space="preserve">START · cd /home/spatial-partners/Desktop/Datum-sync · .venv/bin/python local/manage.py start · Portal 127.0.0.1:8210 · Worker 127.0.0.1:8220</w:t>
            </w:r>
          </w:p>
        </w:tc>
      </w:tr>
    </w:tbl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aption w:val="Datum Sync product statement"/>
      </w:tblPr>
      <w:tblGrid>
        <w:gridCol w:w="2200"/>
        <w:gridCol w:w="8600"/>
      </w:tblGrid>
      <w:tr>
        <w:trPr/>
        <w:tc>
          <w:tcPr>
            <w:shd w:val="clear" w:fill="C99A35"/>
          </w:tcPr>
          <w:p w14:paraId="001000CA" w14:textId="001000CF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172633"/>
                <w:sz w:val="22"/>
              </w:rPr>
              <w:t xml:space="preserve">DATUM SYNC</w:t>
            </w:r>
          </w:p>
        </w:tc>
        <w:tc>
          <w:tcPr>
            <w:shd w:val="clear" w:fill="244B6B"/>
          </w:tcPr>
          <w:p w14:paraId="001000CC" w14:textId="001000D1"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22"/>
              </w:rPr>
              <w:t xml:space="preserve">Connect to a useful agent while identity, MCP access, credentials, evidence and artifacts remain governed in one place.</w:t>
            </w:r>
          </w:p>
        </w:tc>
      </w:tr>
    </w:tbl>
    <w:sectPr>
      <w:headerReference w:type="default" r:id="Rbdcd6f4c6ecf4234"/>
      <w:footerReference w:type="default" r:id="R832e50400ff54c64"/>
      <w:footerReference w:type="first" r:id="R753916b1b798488b"/>
      <w:pgSz w:w="16838" w:h="11906"/>
      <w:pgMar w:top="454" w:right="567" w:bottom="454" w:left="567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D4" w14:textId="001000D5">
    <w:pPr>
      <w:jc w:val="center"/>
    </w:pPr>
    <w:r>
      <w:rPr>
        <w:color w:val="667085"/>
        <w:sz w:val="14"/>
      </w:rPr>
      <w:t xml:space="preserve">Product overview  ·  September 2026</w:t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D6" w14:textId="001000D7">
    <w:pPr>
      <w:jc w:val="center"/>
    </w:pPr>
    <w:r>
      <w:rPr>
        <w:color w:val="667085"/>
        <w:sz w:val="14"/>
      </w:rPr>
      <w:t xml:space="preserve">Datum Sync product overview  ·  Page </w:t>
    </w:r>
    <w:r>
      <w:rPr>
        <w:color w:val="667085"/>
        <w:sz w:val="14"/>
      </w:rPr>
      <w:fldChar w:fldCharType="begin"/>
    </w:r>
    <w:r>
      <w:rPr>
        <w:color w:val="667085"/>
        <w:sz w:val="14"/>
      </w:rPr>
      <w:instrText xml:space="preserve"> PAGE </w:instrText>
    </w:r>
    <w:r>
      <w:rPr>
        <w:color w:val="667085"/>
        <w:sz w:val="14"/>
      </w:rPr>
      <w:fldChar w:fldCharType="separate"/>
    </w:r>
    <w:r>
      <w:rPr>
        <w:color w:val="667085"/>
        <w:sz w:val="14"/>
      </w:rPr>
      <w:t xml:space="preserve">1</w:t>
    </w:r>
    <w:r>
      <w:rPr>
        <w:color w:val="667085"/>
        <w:sz w:val="14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D2" w14:textId="001000D3">
    <w:pPr/>
    <w:r>
      <w:rPr>
        <w:color w:val="667085"/>
        <w:sz w:val="15"/>
      </w:rPr>
      <w:t xml:space="preserve">DATUM SYNC  /  GOVERNED AGENT FLEET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Aptos" w:hAnsi="Aptos" w:eastAsia="Aptos" w:cs="Aptos"/>
        <w:sz w:val="20"/>
        <w:szCs w:val="20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690d6ef04744b45" /><Relationship Type="http://schemas.openxmlformats.org/officeDocument/2006/relationships/styles" Target="/word/styles.xml" Id="Rcd02aab38c494d81" /><Relationship Type="http://schemas.openxmlformats.org/officeDocument/2006/relationships/theme" Target="/word/theme/theme1.xml" Id="Rb03d1af7e36f4380" /><Relationship Type="http://schemas.openxmlformats.org/officeDocument/2006/relationships/numbering" Target="/word/numbering.xml" Id="R244b85ab1ccf4bd7" /><Relationship Type="http://schemas.openxmlformats.org/officeDocument/2006/relationships/image" Target="/media/image.png" Id="R4d4918e72fb547b3" /><Relationship Type="http://schemas.openxmlformats.org/officeDocument/2006/relationships/image" Target="/media/image2.png" Id="R1219175a1206484a" /><Relationship Type="http://schemas.openxmlformats.org/officeDocument/2006/relationships/image" Target="/media/image3.png" Id="R380782a927234949" /><Relationship Type="http://schemas.openxmlformats.org/officeDocument/2006/relationships/image" Target="/media/image4.png" Id="R6c493ca6b6f34fe2" /><Relationship Type="http://schemas.openxmlformats.org/officeDocument/2006/relationships/image" Target="/media/image5.png" Id="Rab0bf86be1d94bf4" /><Relationship Type="http://schemas.openxmlformats.org/officeDocument/2006/relationships/image" Target="/media/image6.png" Id="Rf097c4723ce443e1" /><Relationship Type="http://schemas.openxmlformats.org/officeDocument/2006/relationships/image" Target="/media/image7.png" Id="Rf5e5527bcc4248e1" /><Relationship Type="http://schemas.openxmlformats.org/officeDocument/2006/relationships/image" Target="/media/image8.png" Id="R00bae44f34b94301" /><Relationship Type="http://schemas.openxmlformats.org/officeDocument/2006/relationships/image" Target="/media/image9.png" Id="R568eec41703b4118" /><Relationship Type="http://schemas.openxmlformats.org/officeDocument/2006/relationships/image" Target="/media/image10.png" Id="R48d2c9f77e974776" /><Relationship Type="http://schemas.openxmlformats.org/officeDocument/2006/relationships/header" Target="/word/header1.xml" Id="Rbdcd6f4c6ecf4234" /><Relationship Type="http://schemas.openxmlformats.org/officeDocument/2006/relationships/footer" Target="/word/footer1.xml" Id="R753916b1b798488b" /><Relationship Type="http://schemas.openxmlformats.org/officeDocument/2006/relationships/footer" Target="/word/footer2.xml" Id="R832e50400ff54c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2026-09-14T06:19:02Z</dcterms:created>
  <cp:lastModifiedBy>OfficeCLI</cp:lastModifiedBy>
  <dcterms:modified xsi:type="dcterms:W3CDTF">2026-09-14T06:19:02Z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1.0.149</vt:lpwstr>
  </op:property>
  <op:property fmtid="{D5CDD505-2E9C-101B-9397-08002B2CF9AE}" pid="3" name="OfficeCLI.LastModified">
    <vt:lpwstr xmlns:vt="http://schemas.openxmlformats.org/officeDocument/2006/docPropsVTypes">2026-09-14T06:19:08Z</vt:lpwstr>
  </op:property>
</op:Properties>
</file>