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color w:val="B01513" w:themeColor="accent1"/>
        </w:rPr>
        <w:id w:val="-2097932686"/>
        <w:docPartObj>
          <w:docPartGallery w:val="Cover Pages"/>
          <w:docPartUnique/>
        </w:docPartObj>
      </w:sdtPr>
      <w:sdtEndPr>
        <w:rPr>
          <w:rFonts w:ascii="Arial" w:hAnsi="Arial" w:cs="Arial"/>
          <w:noProof/>
          <w:color w:val="B01513"/>
          <w:sz w:val="24"/>
          <w:szCs w:val="24"/>
          <w:lang w:val="es-ES"/>
        </w:rPr>
      </w:sdtEndPr>
      <w:sdtContent>
        <w:p w:rsidR="00AC7F48" w:rsidRDefault="00AC7F48">
          <w:pPr>
            <w:pStyle w:val="NoSpacing"/>
            <w:spacing w:before="1540" w:after="240"/>
            <w:jc w:val="center"/>
            <w:rPr>
              <w:color w:val="B01513" w:themeColor="accent1"/>
            </w:rPr>
          </w:pPr>
          <w:r>
            <w:rPr>
              <w:noProof/>
              <w:color w:val="B01513" w:themeColor="accent1"/>
              <w:lang w:val="es-MX" w:eastAsia="es-MX"/>
            </w:rPr>
            <w:drawing>
              <wp:inline distT="0" distB="0" distL="0" distR="0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B01513" w:themeColor="accent1"/>
              <w:sz w:val="72"/>
              <w:szCs w:val="72"/>
              <w:lang w:val="es-MX"/>
            </w:rPr>
            <w:alias w:val="Título"/>
            <w:tag w:val=""/>
            <w:id w:val="1735040861"/>
            <w:placeholder>
              <w:docPart w:val="5DB43AD8D2BC4DFEA6F8441BAF362493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AC7F48" w:rsidRPr="00177B7D" w:rsidRDefault="0046728D">
              <w:pPr>
                <w:pStyle w:val="NoSpacing"/>
                <w:pBdr>
                  <w:top w:val="single" w:sz="6" w:space="6" w:color="B01513" w:themeColor="accent1"/>
                  <w:bottom w:val="single" w:sz="6" w:space="6" w:color="B01513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B01513" w:themeColor="accent1"/>
                  <w:sz w:val="80"/>
                  <w:szCs w:val="80"/>
                  <w:lang w:val="es-MX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B01513" w:themeColor="accent1"/>
                  <w:sz w:val="72"/>
                  <w:szCs w:val="72"/>
                  <w:lang w:val="es-MX"/>
                </w:rPr>
                <w:t>Procedimientos especifícos</w:t>
              </w:r>
            </w:p>
          </w:sdtContent>
        </w:sdt>
        <w:sdt>
          <w:sdtPr>
            <w:rPr>
              <w:color w:val="B01513" w:themeColor="accent1"/>
              <w:sz w:val="28"/>
              <w:szCs w:val="28"/>
              <w:lang w:val="es-MX"/>
            </w:rPr>
            <w:alias w:val="Subtítulo"/>
            <w:tag w:val=""/>
            <w:id w:val="328029620"/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AC7F48" w:rsidRPr="000B64B5" w:rsidRDefault="0046728D">
              <w:pPr>
                <w:pStyle w:val="NoSpacing"/>
                <w:jc w:val="center"/>
                <w:rPr>
                  <w:color w:val="B01513" w:themeColor="accent1"/>
                  <w:sz w:val="28"/>
                  <w:szCs w:val="28"/>
                  <w:lang w:val="es-MX"/>
                </w:rPr>
              </w:pPr>
              <w:r>
                <w:rPr>
                  <w:color w:val="B01513" w:themeColor="accent1"/>
                  <w:sz w:val="28"/>
                  <w:szCs w:val="28"/>
                  <w:lang w:val="es-MX"/>
                </w:rPr>
                <w:t>Lista de procedimientos</w:t>
              </w:r>
            </w:p>
          </w:sdtContent>
        </w:sdt>
        <w:p w:rsidR="00AC7F48" w:rsidRDefault="00AC7F48">
          <w:pPr>
            <w:pStyle w:val="NoSpacing"/>
            <w:spacing w:before="480"/>
            <w:jc w:val="center"/>
            <w:rPr>
              <w:color w:val="B01513" w:themeColor="accent1"/>
            </w:rPr>
          </w:pPr>
          <w:r>
            <w:rPr>
              <w:noProof/>
              <w:color w:val="B01513" w:themeColor="accent1"/>
              <w:lang w:val="es-MX" w:eastAsia="es-MX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B01513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7-06-05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AC7F48" w:rsidRPr="000B64B5" w:rsidRDefault="009542BB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B01513" w:themeColor="accent1"/>
                                        <w:sz w:val="28"/>
                                        <w:szCs w:val="28"/>
                                        <w:lang w:val="es-MX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B01513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5 de junio de 2017</w:t>
                                    </w:r>
                                  </w:p>
                                </w:sdtContent>
                              </w:sdt>
                              <w:p w:rsidR="00AC7F48" w:rsidRPr="000B64B5" w:rsidRDefault="009542BB">
                                <w:pPr>
                                  <w:pStyle w:val="NoSpacing"/>
                                  <w:jc w:val="center"/>
                                  <w:rPr>
                                    <w:color w:val="B01513" w:themeColor="accent1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B01513" w:themeColor="accent1"/>
                                      <w:lang w:val="es-MX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AC7F48" w:rsidRPr="000B64B5">
                                      <w:rPr>
                                        <w:caps/>
                                        <w:color w:val="B01513" w:themeColor="accent1"/>
                                        <w:lang w:val="es-MX"/>
                                      </w:rPr>
                                      <w:t>Martha Rodriguez chavez</w:t>
                                    </w:r>
                                  </w:sdtContent>
                                </w:sdt>
                              </w:p>
                              <w:p w:rsidR="00AC7F48" w:rsidRPr="000B64B5" w:rsidRDefault="009542BB">
                                <w:pPr>
                                  <w:pStyle w:val="NoSpacing"/>
                                  <w:jc w:val="center"/>
                                  <w:rPr>
                                    <w:color w:val="B01513" w:themeColor="accent1"/>
                                    <w:lang w:val="es-MX"/>
                                  </w:rPr>
                                </w:pPr>
                                <w:sdt>
                                  <w:sdtPr>
                                    <w:rPr>
                                      <w:color w:val="B01513" w:themeColor="accent1"/>
                                      <w:lang w:val="es-MX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AC7F48" w:rsidRPr="006414BF">
                                      <w:rPr>
                                        <w:color w:val="B01513" w:themeColor="accent1"/>
                                        <w:lang w:val="es-MX"/>
                                      </w:rPr>
                                      <w:t xml:space="preserve">Universidad </w:t>
                                    </w:r>
                                    <w:r w:rsidR="006414BF" w:rsidRPr="006414BF">
                                      <w:rPr>
                                        <w:color w:val="B01513" w:themeColor="accent1"/>
                                        <w:lang w:val="es-MX"/>
                                      </w:rPr>
                                      <w:t>Tecnológica</w:t>
                                    </w:r>
                                    <w:r w:rsidR="00AC7F48" w:rsidRPr="006414BF">
                                      <w:rPr>
                                        <w:color w:val="B01513" w:themeColor="accent1"/>
                                        <w:lang w:val="es-MX"/>
                                      </w:rPr>
                                      <w:t xml:space="preserve"> del Centro de México UTEC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60288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B01513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7-06-05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AC7F48" w:rsidRPr="000B64B5" w:rsidRDefault="009542BB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B01513" w:themeColor="accent1"/>
                                  <w:sz w:val="28"/>
                                  <w:szCs w:val="28"/>
                                  <w:lang w:val="es-MX"/>
                                </w:rPr>
                              </w:pPr>
                              <w:r>
                                <w:rPr>
                                  <w:caps/>
                                  <w:color w:val="B01513" w:themeColor="accent1"/>
                                  <w:sz w:val="28"/>
                                  <w:szCs w:val="28"/>
                                  <w:lang w:val="es-ES"/>
                                </w:rPr>
                                <w:t>5 de junio de 2017</w:t>
                              </w:r>
                            </w:p>
                          </w:sdtContent>
                        </w:sdt>
                        <w:p w:rsidR="00AC7F48" w:rsidRPr="000B64B5" w:rsidRDefault="009542BB">
                          <w:pPr>
                            <w:pStyle w:val="NoSpacing"/>
                            <w:jc w:val="center"/>
                            <w:rPr>
                              <w:color w:val="B01513" w:themeColor="accent1"/>
                              <w:lang w:val="es-MX"/>
                            </w:rPr>
                          </w:pPr>
                          <w:sdt>
                            <w:sdtPr>
                              <w:rPr>
                                <w:caps/>
                                <w:color w:val="B01513" w:themeColor="accent1"/>
                                <w:lang w:val="es-MX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AC7F48" w:rsidRPr="000B64B5">
                                <w:rPr>
                                  <w:caps/>
                                  <w:color w:val="B01513" w:themeColor="accent1"/>
                                  <w:lang w:val="es-MX"/>
                                </w:rPr>
                                <w:t>Martha Rodriguez chavez</w:t>
                              </w:r>
                            </w:sdtContent>
                          </w:sdt>
                        </w:p>
                        <w:p w:rsidR="00AC7F48" w:rsidRPr="000B64B5" w:rsidRDefault="009542BB">
                          <w:pPr>
                            <w:pStyle w:val="NoSpacing"/>
                            <w:jc w:val="center"/>
                            <w:rPr>
                              <w:color w:val="B01513" w:themeColor="accent1"/>
                              <w:lang w:val="es-MX"/>
                            </w:rPr>
                          </w:pPr>
                          <w:sdt>
                            <w:sdtPr>
                              <w:rPr>
                                <w:color w:val="B01513" w:themeColor="accent1"/>
                                <w:lang w:val="es-MX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AC7F48" w:rsidRPr="006414BF">
                                <w:rPr>
                                  <w:color w:val="B01513" w:themeColor="accent1"/>
                                  <w:lang w:val="es-MX"/>
                                </w:rPr>
                                <w:t xml:space="preserve">Universidad </w:t>
                              </w:r>
                              <w:r w:rsidR="006414BF" w:rsidRPr="006414BF">
                                <w:rPr>
                                  <w:color w:val="B01513" w:themeColor="accent1"/>
                                  <w:lang w:val="es-MX"/>
                                </w:rPr>
                                <w:t>Tecnológica</w:t>
                              </w:r>
                              <w:r w:rsidR="00AC7F48" w:rsidRPr="006414BF">
                                <w:rPr>
                                  <w:color w:val="B01513" w:themeColor="accent1"/>
                                  <w:lang w:val="es-MX"/>
                                </w:rPr>
                                <w:t xml:space="preserve"> del Centro de México UTEC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B01513" w:themeColor="accent1"/>
              <w:lang w:val="es-MX" w:eastAsia="es-MX"/>
            </w:rPr>
            <w:drawing>
              <wp:inline distT="0" distB="0" distL="0" distR="0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9A6C9B" w:rsidRDefault="00AC7F48">
          <w:pPr>
            <w:rPr>
              <w:rFonts w:ascii="Arial" w:hAnsi="Arial" w:cs="Arial"/>
              <w:noProof/>
              <w:color w:val="B01513"/>
              <w:sz w:val="24"/>
              <w:szCs w:val="24"/>
              <w:lang w:val="es-ES"/>
            </w:rPr>
          </w:pPr>
          <w:r w:rsidRPr="00AC7F48">
            <w:rPr>
              <w:rFonts w:ascii="Arial" w:hAnsi="Arial" w:cs="Arial"/>
              <w:noProof/>
              <w:color w:val="B01513"/>
              <w:sz w:val="24"/>
              <w:szCs w:val="24"/>
              <w:lang w:val="es-ES"/>
            </w:rPr>
            <w:br w:type="page"/>
          </w:r>
        </w:p>
      </w:sdtContent>
    </w:sdt>
    <w:p w:rsidR="00AC7F48" w:rsidRDefault="0046728D" w:rsidP="00177B7D">
      <w:pPr>
        <w:pStyle w:val="Heading1"/>
        <w:rPr>
          <w:noProof/>
          <w:lang w:val="es-ES"/>
        </w:rPr>
      </w:pPr>
      <w:r>
        <w:rPr>
          <w:noProof/>
          <w:lang w:val="es-ES"/>
        </w:rPr>
        <w:lastRenderedPageBreak/>
        <w:t>Procedimientos</w:t>
      </w:r>
      <w:bookmarkStart w:id="0" w:name="_GoBack"/>
      <w:bookmarkEnd w:id="0"/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510"/>
        <w:gridCol w:w="5387"/>
      </w:tblGrid>
      <w:tr w:rsidR="0013687E" w:rsidTr="001368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13687E" w:rsidRDefault="0013687E" w:rsidP="0046728D">
            <w:pPr>
              <w:rPr>
                <w:lang w:val="es-ES"/>
              </w:rPr>
            </w:pPr>
            <w:r>
              <w:rPr>
                <w:lang w:val="es-ES"/>
              </w:rPr>
              <w:t>Procedimiento</w:t>
            </w:r>
          </w:p>
        </w:tc>
        <w:tc>
          <w:tcPr>
            <w:tcW w:w="5387" w:type="dxa"/>
          </w:tcPr>
          <w:p w:rsidR="0013687E" w:rsidRDefault="0013687E" w:rsidP="004672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Descripcion</w:t>
            </w:r>
            <w:proofErr w:type="spellEnd"/>
          </w:p>
        </w:tc>
      </w:tr>
      <w:tr w:rsidR="0013687E" w:rsidTr="00136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13687E" w:rsidRDefault="0013687E" w:rsidP="0046728D">
            <w:pPr>
              <w:rPr>
                <w:lang w:val="es-ES"/>
              </w:rPr>
            </w:pPr>
            <w:r>
              <w:rPr>
                <w:lang w:val="es-ES"/>
              </w:rPr>
              <w:t>PR-4.2-AC-Contratos Clientes Externos</w:t>
            </w:r>
          </w:p>
        </w:tc>
        <w:tc>
          <w:tcPr>
            <w:tcW w:w="5387" w:type="dxa"/>
          </w:tcPr>
          <w:p w:rsidR="0013687E" w:rsidRDefault="0013687E" w:rsidP="004672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 xml:space="preserve">Procedimiento para la realización de contratos con clientes externos del área de </w:t>
            </w:r>
            <w:r w:rsidR="009542BB">
              <w:rPr>
                <w:lang w:val="es-ES"/>
              </w:rPr>
              <w:t>Administración</w:t>
            </w:r>
            <w:r>
              <w:rPr>
                <w:lang w:val="es-ES"/>
              </w:rPr>
              <w:t xml:space="preserve"> y Comercial</w:t>
            </w:r>
          </w:p>
        </w:tc>
      </w:tr>
      <w:tr w:rsidR="0013687E" w:rsidTr="001368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13687E" w:rsidRDefault="0013687E" w:rsidP="0046728D">
            <w:pPr>
              <w:rPr>
                <w:lang w:val="es-ES"/>
              </w:rPr>
            </w:pPr>
            <w:r>
              <w:rPr>
                <w:lang w:val="es-ES"/>
              </w:rPr>
              <w:t>PR-5.3-</w:t>
            </w:r>
            <w:r w:rsidR="0049091C">
              <w:rPr>
                <w:lang w:val="es-ES"/>
              </w:rPr>
              <w:t>GE-Contratacio de personal</w:t>
            </w:r>
          </w:p>
        </w:tc>
        <w:tc>
          <w:tcPr>
            <w:tcW w:w="5387" w:type="dxa"/>
          </w:tcPr>
          <w:p w:rsidR="0049091C" w:rsidRDefault="0049091C" w:rsidP="004672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Procedimiento para realizar la contratación de personal a través del servicio que brinda RRHH</w:t>
            </w:r>
          </w:p>
        </w:tc>
      </w:tr>
      <w:tr w:rsidR="0049091C" w:rsidTr="00136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49091C" w:rsidRDefault="0049091C" w:rsidP="0049091C">
            <w:pPr>
              <w:rPr>
                <w:lang w:val="es-ES"/>
              </w:rPr>
            </w:pPr>
            <w:r>
              <w:rPr>
                <w:lang w:val="es-ES"/>
              </w:rPr>
              <w:t>PR-6.3-EC-Integracion de cambios al SGC</w:t>
            </w:r>
          </w:p>
        </w:tc>
        <w:tc>
          <w:tcPr>
            <w:tcW w:w="5387" w:type="dxa"/>
          </w:tcPr>
          <w:p w:rsidR="0049091C" w:rsidRDefault="0049091C" w:rsidP="00490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 xml:space="preserve">Procedimiento para evaluación e integración de cambios al SGC a cargo de </w:t>
            </w:r>
            <w:r w:rsidR="009542BB">
              <w:rPr>
                <w:lang w:val="es-ES"/>
              </w:rPr>
              <w:t>Estandarización</w:t>
            </w:r>
            <w:r>
              <w:rPr>
                <w:lang w:val="es-ES"/>
              </w:rPr>
              <w:t xml:space="preserve"> y Calidad</w:t>
            </w:r>
          </w:p>
        </w:tc>
      </w:tr>
      <w:tr w:rsidR="0049091C" w:rsidTr="001368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49091C" w:rsidRDefault="0049091C" w:rsidP="0049091C">
            <w:pPr>
              <w:rPr>
                <w:lang w:val="es-ES"/>
              </w:rPr>
            </w:pPr>
            <w:r>
              <w:rPr>
                <w:lang w:val="es-ES"/>
              </w:rPr>
              <w:t>PR-7.2-DE-Cursos y capacitación</w:t>
            </w:r>
          </w:p>
        </w:tc>
        <w:tc>
          <w:tcPr>
            <w:tcW w:w="5387" w:type="dxa"/>
          </w:tcPr>
          <w:p w:rsidR="0049091C" w:rsidRDefault="0049091C" w:rsidP="00490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 xml:space="preserve">Procedimiento que debe seguir el </w:t>
            </w:r>
            <w:r w:rsidR="009542BB">
              <w:rPr>
                <w:lang w:val="es-ES"/>
              </w:rPr>
              <w:t>Líder</w:t>
            </w:r>
            <w:r>
              <w:rPr>
                <w:lang w:val="es-ES"/>
              </w:rPr>
              <w:t xml:space="preserve"> de proyecto para contratar los cursos apropiados para sus desarrolladores y DBA</w:t>
            </w:r>
          </w:p>
        </w:tc>
      </w:tr>
      <w:tr w:rsidR="0049091C" w:rsidTr="00136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49091C" w:rsidRDefault="009542BB" w:rsidP="0049091C">
            <w:pPr>
              <w:rPr>
                <w:lang w:val="es-ES"/>
              </w:rPr>
            </w:pPr>
            <w:r>
              <w:rPr>
                <w:lang w:val="es-ES"/>
              </w:rPr>
              <w:t>PR-8.6-DE-Testing de desarrollo</w:t>
            </w:r>
          </w:p>
        </w:tc>
        <w:tc>
          <w:tcPr>
            <w:tcW w:w="5387" w:type="dxa"/>
          </w:tcPr>
          <w:p w:rsidR="0049091C" w:rsidRDefault="009542BB" w:rsidP="00490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Procedimiento a seguir para la validación de casos de uso</w:t>
            </w:r>
          </w:p>
        </w:tc>
      </w:tr>
      <w:tr w:rsidR="009542BB" w:rsidTr="001368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9542BB" w:rsidRDefault="009542BB" w:rsidP="0049091C">
            <w:pPr>
              <w:rPr>
                <w:lang w:val="es-ES"/>
              </w:rPr>
            </w:pPr>
            <w:r>
              <w:rPr>
                <w:lang w:val="es-ES"/>
              </w:rPr>
              <w:t>PR-9.2-AC-Auditoria interna</w:t>
            </w:r>
          </w:p>
        </w:tc>
        <w:tc>
          <w:tcPr>
            <w:tcW w:w="5387" w:type="dxa"/>
          </w:tcPr>
          <w:p w:rsidR="009542BB" w:rsidRDefault="009542BB" w:rsidP="004909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Procedimiento para la realización de auditorías internas</w:t>
            </w:r>
          </w:p>
        </w:tc>
      </w:tr>
      <w:tr w:rsidR="009542BB" w:rsidTr="001368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10" w:type="dxa"/>
          </w:tcPr>
          <w:p w:rsidR="009542BB" w:rsidRDefault="009542BB" w:rsidP="0049091C">
            <w:pPr>
              <w:rPr>
                <w:lang w:val="es-ES"/>
              </w:rPr>
            </w:pPr>
            <w:r>
              <w:rPr>
                <w:lang w:val="es-ES"/>
              </w:rPr>
              <w:t>PR-10.2-AC-Documentacion de no conformidades</w:t>
            </w:r>
          </w:p>
        </w:tc>
        <w:tc>
          <w:tcPr>
            <w:tcW w:w="5387" w:type="dxa"/>
          </w:tcPr>
          <w:p w:rsidR="009542BB" w:rsidRDefault="009542BB" w:rsidP="004909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ES"/>
              </w:rPr>
            </w:pPr>
            <w:r>
              <w:rPr>
                <w:lang w:val="es-ES"/>
              </w:rPr>
              <w:t>Procedimiento para la documentación de no conformidades</w:t>
            </w:r>
          </w:p>
        </w:tc>
      </w:tr>
    </w:tbl>
    <w:p w:rsidR="0046728D" w:rsidRPr="0046728D" w:rsidRDefault="0046728D" w:rsidP="0046728D">
      <w:pPr>
        <w:rPr>
          <w:lang w:val="es-ES"/>
        </w:rPr>
      </w:pPr>
    </w:p>
    <w:sectPr w:rsidR="0046728D" w:rsidRPr="0046728D" w:rsidSect="00AC7F48">
      <w:pgSz w:w="12240" w:h="15840"/>
      <w:pgMar w:top="1440" w:right="1440" w:bottom="1440" w:left="1440" w:header="720" w:footer="720" w:gutter="0"/>
      <w:pgNumType w:start="0"/>
      <w:cols w:space="720"/>
      <w:titlePg/>
      <w:docGrid w:linePitch="23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MS Gothic"/>
    <w:panose1 w:val="020B0604030504040204"/>
    <w:charset w:val="80"/>
    <w:family w:val="swiss"/>
    <w:pitch w:val="variable"/>
    <w:sig w:usb0="E10102FF" w:usb1="EAC7FFFF" w:usb2="00010012" w:usb3="00000000" w:csb0="0002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DE54BA"/>
    <w:multiLevelType w:val="hybridMultilevel"/>
    <w:tmpl w:val="70F6F8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91F204E"/>
    <w:multiLevelType w:val="hybridMultilevel"/>
    <w:tmpl w:val="F0FA367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E0608B8"/>
    <w:multiLevelType w:val="hybridMultilevel"/>
    <w:tmpl w:val="BA48E97A"/>
    <w:lvl w:ilvl="0" w:tplc="CFDE045C">
      <w:numFmt w:val="bullet"/>
      <w:lvlText w:val="-"/>
      <w:lvlJc w:val="left"/>
      <w:pPr>
        <w:ind w:left="36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7EC05455"/>
    <w:multiLevelType w:val="hybridMultilevel"/>
    <w:tmpl w:val="1E38928A"/>
    <w:lvl w:ilvl="0" w:tplc="C51EA958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attachedTemplate r:id="rId1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D53"/>
    <w:rsid w:val="00082605"/>
    <w:rsid w:val="00096420"/>
    <w:rsid w:val="000B64B5"/>
    <w:rsid w:val="0013687E"/>
    <w:rsid w:val="00177B7D"/>
    <w:rsid w:val="00247F96"/>
    <w:rsid w:val="002C7A92"/>
    <w:rsid w:val="00357C68"/>
    <w:rsid w:val="003B4C43"/>
    <w:rsid w:val="003C577C"/>
    <w:rsid w:val="0046728D"/>
    <w:rsid w:val="0049091C"/>
    <w:rsid w:val="004A5D53"/>
    <w:rsid w:val="004D2A3D"/>
    <w:rsid w:val="00585D87"/>
    <w:rsid w:val="006414BF"/>
    <w:rsid w:val="00702E8D"/>
    <w:rsid w:val="00750793"/>
    <w:rsid w:val="00766837"/>
    <w:rsid w:val="00784CDB"/>
    <w:rsid w:val="00804EF0"/>
    <w:rsid w:val="00821021"/>
    <w:rsid w:val="00827275"/>
    <w:rsid w:val="00876C64"/>
    <w:rsid w:val="00913A5B"/>
    <w:rsid w:val="009313A2"/>
    <w:rsid w:val="009542BB"/>
    <w:rsid w:val="009A67D5"/>
    <w:rsid w:val="009A6C9B"/>
    <w:rsid w:val="009B7C4F"/>
    <w:rsid w:val="009E497F"/>
    <w:rsid w:val="00AC7F48"/>
    <w:rsid w:val="00EA78FC"/>
    <w:rsid w:val="00F42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17"/>
        <w:szCs w:val="17"/>
        <w:lang w:val="en-US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qFormat/>
    <w:rPr>
      <w:b/>
      <w:bCs/>
      <w:caps w:val="0"/>
      <w:smallCaps/>
      <w:spacing w:val="1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Pr>
      <w:i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left w:val="single" w:sz="36" w:space="4" w:color="B01513" w:themeColor="accent1"/>
      </w:pBdr>
      <w:spacing w:before="100" w:beforeAutospacing="1"/>
      <w:ind w:left="1224" w:right="1224"/>
    </w:pPr>
    <w:rPr>
      <w:color w:val="B01513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B01513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Pr>
      <w:b/>
      <w:bCs/>
      <w:caps w:val="0"/>
      <w:smallCaps/>
      <w:color w:val="auto"/>
      <w:spacing w:val="5"/>
      <w:u w:val="single"/>
    </w:rPr>
  </w:style>
  <w:style w:type="character" w:styleId="Hyperlink">
    <w:name w:val="Hyperlink"/>
    <w:basedOn w:val="DefaultParagraphFont"/>
    <w:unhideWhenUsed/>
    <w:rPr>
      <w:color w:val="4FB8C1" w:themeColor="text2" w:themeTint="99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DFFCB" w:themeColor="followedHyperlink"/>
      <w:u w:val="single"/>
    </w:r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QuoteChar">
    <w:name w:val="Quote Char"/>
    <w:basedOn w:val="DefaultParagraphFont"/>
    <w:link w:val="Quote"/>
    <w:uiPriority w:val="29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8"/>
      <w:szCs w:val="28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Pr>
      <w:caps w:val="0"/>
      <w:smallCaps/>
      <w:color w:val="404040" w:themeColor="text1" w:themeTint="BF"/>
      <w:u w:val="single" w:color="7F7F7F" w:themeColor="text1" w:themeTint="8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102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1021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177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13687E"/>
    <w:pPr>
      <w:spacing w:after="0" w:line="240" w:lineRule="auto"/>
    </w:pPr>
    <w:tblPr>
      <w:tblStyleRowBandSize w:val="1"/>
      <w:tblStyleColBandSize w:val="1"/>
      <w:tblBorders>
        <w:top w:val="single" w:sz="8" w:space="0" w:color="B01513" w:themeColor="accent1"/>
        <w:left w:val="single" w:sz="8" w:space="0" w:color="B01513" w:themeColor="accent1"/>
        <w:bottom w:val="single" w:sz="8" w:space="0" w:color="B01513" w:themeColor="accent1"/>
        <w:right w:val="single" w:sz="8" w:space="0" w:color="B0151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0151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1513" w:themeColor="accent1"/>
          <w:left w:val="single" w:sz="8" w:space="0" w:color="B01513" w:themeColor="accent1"/>
          <w:bottom w:val="single" w:sz="8" w:space="0" w:color="B01513" w:themeColor="accent1"/>
          <w:right w:val="single" w:sz="8" w:space="0" w:color="B0151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01513" w:themeColor="accent1"/>
          <w:left w:val="single" w:sz="8" w:space="0" w:color="B01513" w:themeColor="accent1"/>
          <w:bottom w:val="single" w:sz="8" w:space="0" w:color="B01513" w:themeColor="accent1"/>
          <w:right w:val="single" w:sz="8" w:space="0" w:color="B01513" w:themeColor="accent1"/>
        </w:tcBorders>
      </w:tcPr>
    </w:tblStylePr>
    <w:tblStylePr w:type="band1Horz">
      <w:tblPr/>
      <w:tcPr>
        <w:tcBorders>
          <w:top w:val="single" w:sz="8" w:space="0" w:color="B01513" w:themeColor="accent1"/>
          <w:left w:val="single" w:sz="8" w:space="0" w:color="B01513" w:themeColor="accent1"/>
          <w:bottom w:val="single" w:sz="8" w:space="0" w:color="B01513" w:themeColor="accent1"/>
          <w:right w:val="single" w:sz="8" w:space="0" w:color="B01513" w:themeColor="accent1"/>
        </w:tcBorders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17"/>
        <w:szCs w:val="17"/>
        <w:lang w:val="en-US" w:eastAsia="ja-JP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qFormat/>
    <w:rPr>
      <w:b/>
      <w:bCs/>
      <w:caps w:val="0"/>
      <w:smallCaps/>
      <w:spacing w:val="1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Pr>
      <w:i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B01513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left w:val="single" w:sz="36" w:space="4" w:color="B01513" w:themeColor="accent1"/>
      </w:pBdr>
      <w:spacing w:before="100" w:beforeAutospacing="1"/>
      <w:ind w:left="1224" w:right="1224"/>
    </w:pPr>
    <w:rPr>
      <w:color w:val="B01513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B01513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Pr>
      <w:b/>
      <w:bCs/>
      <w:caps w:val="0"/>
      <w:smallCaps/>
      <w:color w:val="auto"/>
      <w:spacing w:val="5"/>
      <w:u w:val="single"/>
    </w:rPr>
  </w:style>
  <w:style w:type="character" w:styleId="Hyperlink">
    <w:name w:val="Hyperlink"/>
    <w:basedOn w:val="DefaultParagraphFont"/>
    <w:unhideWhenUsed/>
    <w:rPr>
      <w:color w:val="4FB8C1" w:themeColor="text2" w:themeTint="99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DFFCB" w:themeColor="followedHyperlink"/>
      <w:u w:val="single"/>
    </w:r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QuoteChar">
    <w:name w:val="Quote Char"/>
    <w:basedOn w:val="DefaultParagraphFont"/>
    <w:link w:val="Quote"/>
    <w:uiPriority w:val="29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8"/>
      <w:szCs w:val="28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Pr>
      <w:caps w:val="0"/>
      <w:smallCaps/>
      <w:color w:val="404040" w:themeColor="text1" w:themeTint="BF"/>
      <w:u w:val="single" w:color="7F7F7F" w:themeColor="text1" w:themeTint="8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B01513" w:themeColor="accent1"/>
      <w:kern w:val="28"/>
      <w:sz w:val="72"/>
      <w:szCs w:val="7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2102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1021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177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1">
    <w:name w:val="Light List Accent 1"/>
    <w:basedOn w:val="TableNormal"/>
    <w:uiPriority w:val="61"/>
    <w:rsid w:val="0013687E"/>
    <w:pPr>
      <w:spacing w:after="0" w:line="240" w:lineRule="auto"/>
    </w:pPr>
    <w:tblPr>
      <w:tblStyleRowBandSize w:val="1"/>
      <w:tblStyleColBandSize w:val="1"/>
      <w:tblBorders>
        <w:top w:val="single" w:sz="8" w:space="0" w:color="B01513" w:themeColor="accent1"/>
        <w:left w:val="single" w:sz="8" w:space="0" w:color="B01513" w:themeColor="accent1"/>
        <w:bottom w:val="single" w:sz="8" w:space="0" w:color="B01513" w:themeColor="accent1"/>
        <w:right w:val="single" w:sz="8" w:space="0" w:color="B01513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01513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1513" w:themeColor="accent1"/>
          <w:left w:val="single" w:sz="8" w:space="0" w:color="B01513" w:themeColor="accent1"/>
          <w:bottom w:val="single" w:sz="8" w:space="0" w:color="B01513" w:themeColor="accent1"/>
          <w:right w:val="single" w:sz="8" w:space="0" w:color="B0151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01513" w:themeColor="accent1"/>
          <w:left w:val="single" w:sz="8" w:space="0" w:color="B01513" w:themeColor="accent1"/>
          <w:bottom w:val="single" w:sz="8" w:space="0" w:color="B01513" w:themeColor="accent1"/>
          <w:right w:val="single" w:sz="8" w:space="0" w:color="B01513" w:themeColor="accent1"/>
        </w:tcBorders>
      </w:tcPr>
    </w:tblStylePr>
    <w:tblStylePr w:type="band1Horz">
      <w:tblPr/>
      <w:tcPr>
        <w:tcBorders>
          <w:top w:val="single" w:sz="8" w:space="0" w:color="B01513" w:themeColor="accent1"/>
          <w:left w:val="single" w:sz="8" w:space="0" w:color="B01513" w:themeColor="accent1"/>
          <w:bottom w:val="single" w:sz="8" w:space="0" w:color="B01513" w:themeColor="accent1"/>
          <w:right w:val="single" w:sz="8" w:space="0" w:color="B01513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3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microsoft.com/office/2007/relationships/stylesWithEffects" Target="stylesWithEffect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tha\AppData\Roaming\Microsoft\Plantillas\Dise&#241;o%20de%20ion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MS Gothic"/>
    <w:panose1 w:val="020B0604030504040204"/>
    <w:charset w:val="80"/>
    <w:family w:val="swiss"/>
    <w:pitch w:val="variable"/>
    <w:sig w:usb0="E10102FF" w:usb1="EAC7FFFF" w:usb2="00010012" w:usb3="00000000" w:csb0="0002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0EAD"/>
    <w:rsid w:val="002B45B1"/>
    <w:rsid w:val="00590CBB"/>
    <w:rsid w:val="00686F18"/>
    <w:rsid w:val="00700EAD"/>
    <w:rsid w:val="00823540"/>
    <w:rsid w:val="00E32483"/>
    <w:rsid w:val="00F03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DB43AD8D2BC4DFEA6F8441BAF362493">
    <w:name w:val="5DB43AD8D2BC4DFEA6F8441BAF362493"/>
    <w:rsid w:val="00700EAD"/>
  </w:style>
  <w:style w:type="paragraph" w:customStyle="1" w:styleId="6EDD38A2E0B84B2CBDD9272CD850E230">
    <w:name w:val="6EDD38A2E0B84B2CBDD9272CD850E230"/>
    <w:rsid w:val="00700EAD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DB43AD8D2BC4DFEA6F8441BAF362493">
    <w:name w:val="5DB43AD8D2BC4DFEA6F8441BAF362493"/>
    <w:rsid w:val="00700EAD"/>
  </w:style>
  <w:style w:type="paragraph" w:customStyle="1" w:styleId="6EDD38A2E0B84B2CBDD9272CD850E230">
    <w:name w:val="6EDD38A2E0B84B2CBDD9272CD850E230"/>
    <w:rsid w:val="00700E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2017-06-05T00:00:00</PublishDate>
  <Abstract/>
  <CompanyAddress>Universidad Tecnológica del Centro de México UTEC</CompanyAddress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8D527A9-858A-4DE6-85D1-2C4E15415FC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Diseño de iones.dotx</Template>
  <TotalTime>165</TotalTime>
  <Pages>2</Pages>
  <Words>146</Words>
  <Characters>808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Procedimientos especifícos</vt:lpstr>
      <vt:lpstr>Titulo</vt:lpstr>
    </vt:vector>
  </TitlesOfParts>
  <Company>Martha Rodriguez chavez</Company>
  <LinksUpToDate>false</LinksUpToDate>
  <CharactersWithSpaces>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Procedimientos especifícos</dc:title>
  <dc:subject>Lista de procedimientos</dc:subject>
  <dc:creator>martha rodriguez</dc:creator>
  <cp:lastModifiedBy>MARTHA RODRIGUEZ CHAVEZ</cp:lastModifiedBy>
  <cp:revision>5</cp:revision>
  <dcterms:created xsi:type="dcterms:W3CDTF">2017-06-05T20:37:00Z</dcterms:created>
  <dcterms:modified xsi:type="dcterms:W3CDTF">2017-06-07T20:46:00Z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TC034577119991</vt:lpwstr>
  </property>
</Properties>
</file>