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w="http://schemas.openxmlformats.org/wordprocessingml/2006/main" xmlns:r="http://schemas.openxmlformats.org/officeDocument/2006/relationships" xmlns:w14="http://schemas.microsoft.com/office/word/2010/wordml" xmlns:mc="http://schemas.openxmlformats.org/markup-compatibility/2006" mc:Ignorable="w14 wpc">
  <w:body>
    <w:p>
      <w:pPr>
        <w:pStyle w:val="Heading1"/>
      </w:pPr>
      <w:r>
        <w:rPr>
          <w:color w:val="1A6FEF"/>
        </w:rPr>
        <w:t xml:space="preserve">Oil &amp; Gas Division</w:t>
      </w:r>
    </w:p>
    <w:p>
      <w:pPr>
        <w:pStyle w:val="Heading2"/>
      </w:pPr>
      <w:r>
        <w:t xml:space="preserve">Executive Dashboard — User Guide</w:t>
      </w:r>
    </w:p>
    <w:p>
      <w:pPr>
        <w:pStyle w:val="Normal"/>
      </w:pPr>
      <w:r>
        <w:rPr>
          <w:color w:val="5A6378"/>
          <w:sz w:val="22"/>
          <w:szCs w:val="22"/>
        </w:rPr>
        <w:t xml:space="preserve">How to read filters, color coding, and each tab</w:t>
      </w:r>
    </w:p>
    <w:p>
      <w:pPr>
        <w:pStyle w:val="Normal"/>
      </w:pPr>
    </w:p>
    <w:p>
      <w:pPr>
        <w:pBdr>
          <w:bottom w:val="single" w:sz="6" w:space="1" w:color="C8D0E0"/>
        </w:pBdr>
      </w:pPr>
    </w:p>
    <w:p>
      <w:pPr>
        <w:pStyle w:val="Normal"/>
      </w:pPr>
    </w:p>
    <w:p>
      <w:pPr>
        <w:pStyle w:val="Heading1"/>
      </w:pPr>
      <w:r>
        <w:t xml:space="preserve">1. What This Dashboard Shows</w:t>
      </w:r>
    </w:p>
    <w:p>
      <w:pPr>
        <w:pStyle w:val="Normal"/>
      </w:pPr>
      <w:r>
        <w:t xml:space="preserve">The Oil &amp; Gas Executive Dashboard tracks financial performance across active construction and pipeline projects. It pulls monthly cost report data — covering contract revenue, profitability, billing status, and earned value — and presents it in one place so you can spot trends, compare jobs, and identify problems without opening individual spreadsheets.</w:t>
      </w:r>
    </w:p>
    <w:p>
      <w:pPr>
        <w:pStyle w:val="Normal"/>
      </w:pPr>
      <w:r>
        <w:t xml:space="preserve">Data is refreshed by running the Excel macro, which overwrites the dashboard file with the latest export. The date range shown in the top-right corner of the dashboard reflects the most recent month in the data.</w:t>
      </w:r>
    </w:p>
    <w:p>
      <w:pPr>
        <w:pStyle w:val="Normal"/>
      </w:pPr>
      <w:r>
        <w:rPr>
          <w:color w:val="1A6FEF"/>
        </w:rPr>
        <w:t xml:space="preserve">NOTE: The dashboard shows data as of the last refresh. If something looks stale, ask whoever manages the workbook to re-run the macro and send you the updated HTML file.</w:t>
      </w:r>
    </w:p>
    <w:p>
      <w:pPr>
        <w:pStyle w:val="Normal"/>
      </w:pPr>
    </w:p>
    <w:p>
      <w:pPr>
        <w:pStyle w:val="Heading1"/>
      </w:pPr>
      <w:r>
        <w:t xml:space="preserve">2. The Data Snapshot</w:t>
      </w:r>
    </w:p>
    <w:p>
      <w:pPr>
        <w:pStyle w:val="Normal"/>
      </w:pPr>
      <w:r>
        <w:t xml:space="preserve">Each project appears once per report month in the underlying data. When you open the dashboard without any filters set, most views default to the most recent month's snapshot for each project — so a project running since 2022 still shows only one row: its latest figures.</w:t>
      </w:r>
    </w:p>
    <w:p>
      <w:pPr>
        <w:pStyle w:val="Normal"/>
      </w:pPr>
      <w:r>
        <w:t xml:space="preserve">The Month filter lets you pin everything to a specific reporting period, which is useful for reviewing a closed month or comparing against a prior period.</w:t>
      </w:r>
    </w:p>
    <w:p>
      <w:pPr>
        <w:pStyle w:val="Normal"/>
      </w:pPr>
      <w:r>
        <w:t xml:space="preserve">Trend charts (Overview and Job Performance tabs) always show all months in the selected date range regardless of the Month filter.</w:t>
      </w:r>
    </w:p>
    <w:p>
      <w:pPr>
        <w:pStyle w:val="Normal"/>
      </w:pPr>
    </w:p>
    <w:p>
      <w:pPr>
        <w:pBdr>
          <w:bottom w:val="single" w:sz="6" w:space="1" w:color="C8D0E0"/>
        </w:pBdr>
      </w:pPr>
    </w:p>
    <w:p>
      <w:pPr>
        <w:pStyle w:val="Normal"/>
      </w:pPr>
    </w:p>
    <w:p>
      <w:pPr>
        <w:pStyle w:val="Heading1"/>
      </w:pPr>
      <w:r>
        <w:t xml:space="preserve">3. Using the Filter Bar</w:t>
      </w:r>
    </w:p>
    <w:p>
      <w:pPr>
        <w:pStyle w:val="Normal"/>
      </w:pPr>
      <w:r>
        <w:t xml:space="preserve">All filters stack — each one narrows the data further. Use the ✕ Reset button at the right end of the filter bar to clear everything at once.</w:t>
      </w:r>
    </w:p>
    <w:p>
      <w:pPr>
        <w:pStyle w:val="Normal"/>
      </w:pPr>
    </w:p>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Section</w:t>
            </w:r>
          </w:p>
        </w:tc>
        <w:tc>
          <w:tcPr>
            <w:tcW w:w="7200" w:type="dxa"/>
          </w:tcPr>
          <w:p>
            <w:pPr>
              <w:spacing w:after="0"/>
            </w:pPr>
            <w:r>
              <w:rPr>
                <w:sz w:val="20"/>
              </w:rPr>
              <w:t xml:space="preserve">Splits the portfolio by cost report source file — Sec. 100 or Sec. 200. Use this first if you're responsible for only one section. Multi-select.</w:t>
            </w:r>
          </w:p>
        </w:tc>
      </w:tr>
    </w:tbl>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Month</w:t>
            </w:r>
          </w:p>
        </w:tc>
        <w:tc>
          <w:tcPr>
            <w:tcW w:w="7200" w:type="dxa"/>
          </w:tcPr>
          <w:p>
            <w:pPr>
              <w:spacing w:after="0"/>
            </w:pPr>
            <w:r>
              <w:rPr>
                <w:sz w:val="20"/>
              </w:rPr>
              <w:t xml:space="preserve">Pins all snapshot views to a specific reporting month. Leave blank to see each project's most recent data. Single-select.</w:t>
            </w:r>
          </w:p>
        </w:tc>
      </w:tr>
    </w:tbl>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Status</w:t>
            </w:r>
          </w:p>
        </w:tc>
        <w:tc>
          <w:tcPr>
            <w:tcW w:w="7200" w:type="dxa"/>
          </w:tcPr>
          <w:p>
            <w:pPr>
              <w:spacing w:after="0"/>
            </w:pPr>
            <w:r>
              <w:rPr>
                <w:sz w:val="20"/>
              </w:rPr>
              <w:t xml:space="preserve">Filters by latest known status: Open (active), Closed (work complete, billing pending), or Finalized (books closed). Multi-select.</w:t>
            </w:r>
          </w:p>
        </w:tc>
      </w:tr>
    </w:tbl>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Client</w:t>
            </w:r>
          </w:p>
        </w:tc>
        <w:tc>
          <w:tcPr>
            <w:tcW w:w="7200" w:type="dxa"/>
          </w:tcPr>
          <w:p>
            <w:pPr>
              <w:spacing w:after="0"/>
            </w:pPr>
            <w:r>
              <w:rPr>
                <w:sz w:val="20"/>
              </w:rPr>
              <w:t xml:space="preserve">Filter to one or more specific clients. Names are extracted from the project name field (everything before the '/' separator). Multi-select.</w:t>
            </w:r>
          </w:p>
        </w:tc>
      </w:tr>
    </w:tbl>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Start Year</w:t>
            </w:r>
          </w:p>
        </w:tc>
        <w:tc>
          <w:tcPr>
            <w:tcW w:w="7200" w:type="dxa"/>
          </w:tcPr>
          <w:p>
            <w:pPr>
              <w:spacing w:after="0"/>
            </w:pPr>
            <w:r>
              <w:rPr>
                <w:sz w:val="20"/>
              </w:rPr>
              <w:t xml:space="preserve">Filters by the year a project was awarded, derived from the job number prefix (e.g. job 23-1002 started in 2023). Multi-select.</w:t>
            </w:r>
          </w:p>
        </w:tc>
      </w:tr>
    </w:tbl>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Job #</w:t>
            </w:r>
          </w:p>
        </w:tc>
        <w:tc>
          <w:tcPr>
            <w:tcW w:w="7200" w:type="dxa"/>
          </w:tcPr>
          <w:p>
            <w:pPr>
              <w:spacing w:after="0"/>
            </w:pPr>
            <w:r>
              <w:rPr>
                <w:sz w:val="20"/>
              </w:rPr>
              <w:t xml:space="preserve">Drill into a single job across all tabs. Every chart, KPI, and table reflects only that project. Multi-select.</w:t>
            </w:r>
          </w:p>
        </w:tc>
      </w:tr>
    </w:tbl>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Metric</w:t>
            </w:r>
          </w:p>
        </w:tc>
        <w:tc>
          <w:tcPr>
            <w:tcW w:w="7200" w:type="dxa"/>
          </w:tcPr>
          <w:p>
            <w:pPr>
              <w:spacing w:after="0"/>
            </w:pPr>
            <w:r>
              <w:rPr>
                <w:sz w:val="20"/>
              </w:rPr>
              <w:t xml:space="preserve">Applies a numeric threshold — e.g. Margin on Rev &gt;= 10%, or EAC between $5M and $20M. Choose a field, an operator, then enter your value.</w:t>
            </w:r>
          </w:p>
        </w:tc>
      </w:tr>
    </w:tbl>
    <w:p>
      <w:pPr>
        <w:pStyle w:val="Normal"/>
      </w:pPr>
    </w:p>
    <w:p>
      <w:pPr>
        <w:pStyle w:val="Heading2"/>
      </w:pPr>
      <w:r>
        <w:t xml:space="preserve">Common Filter Workflows</w:t>
      </w:r>
    </w:p>
    <w:p>
      <w:pPr>
        <w:pStyle w:val="Normal"/>
      </w:pPr>
      <w:r>
        <w:rPr>
          <w:b/>
          <w:bCs/>
        </w:rPr>
        <w:t xml:space="preserve">Monthly close review:</w:t>
      </w:r>
      <w:r>
        <w:t xml:space="preserve"> Set Month to the period you just closed. Every KPI and scorecard will reflect that month's figures only.</w:t>
      </w:r>
    </w:p>
    <w:p>
      <w:pPr>
        <w:pStyle w:val="Normal"/>
      </w:pPr>
      <w:r>
        <w:rPr>
          <w:b/>
          <w:bCs/>
        </w:rPr>
        <w:t xml:space="preserve">Section lead review:</w:t>
      </w:r>
      <w:r>
        <w:t xml:space="preserve"> Select your section under Section, then set Status → Open. You'll see only your active jobs.</w:t>
      </w:r>
    </w:p>
    <w:p>
      <w:pPr>
        <w:pStyle w:val="Normal"/>
      </w:pPr>
      <w:r>
        <w:rPr>
          <w:b/>
          <w:bCs/>
        </w:rPr>
        <w:t xml:space="preserve">Single job deep-dive:</w:t>
      </w:r>
      <w:r>
        <w:t xml:space="preserve"> Pick the job under Job #, then step through each tab. The Job Performance tab's trend and scorecard are most useful.</w:t>
      </w:r>
    </w:p>
    <w:p>
      <w:pPr>
        <w:pStyle w:val="Normal"/>
      </w:pPr>
      <w:r>
        <w:rPr>
          <w:b/>
          <w:bCs/>
        </w:rPr>
        <w:t xml:space="preserve">Find underperforming jobs:</w:t>
      </w:r>
      <w:r>
        <w:t xml:space="preserve"> Set Metric → Margin on Rev ≤ 0 to surface only jobs running at a loss. Cross-reference on Project Health.</w:t>
      </w:r>
    </w:p>
    <w:p>
      <w:pPr>
        <w:pStyle w:val="Normal"/>
      </w:pPr>
    </w:p>
    <w:p>
      <w:pPr>
        <w:pBdr>
          <w:bottom w:val="single" w:sz="6" w:space="1" w:color="C8D0E0"/>
        </w:pBdr>
      </w:pPr>
    </w:p>
    <w:p>
      <w:pPr>
        <w:pStyle w:val="Normal"/>
      </w:pPr>
    </w:p>
    <w:p>
      <w:pPr>
        <w:pStyle w:val="Heading1"/>
      </w:pPr>
      <w:r>
        <w:t xml:space="preserve">4. Color Coding</w:t>
      </w:r>
    </w:p>
    <w:p>
      <w:pPr>
        <w:pStyle w:val="Normal"/>
      </w:pPr>
      <w:r>
        <w:t xml:space="preserve">Every color encodes the same meaning consistently across all tabs.</w:t>
      </w:r>
    </w:p>
    <w:p>
      <w:pPr>
        <w:pStyle w:val="Normal"/>
      </w:pPr>
    </w:p>
    <w:p>
      <w:pPr>
        <w:pStyle w:val="Heading2"/>
      </w:pPr>
      <w:r>
        <w:t xml:space="preserve">Status Badges</w:t>
      </w:r>
    </w:p>
    <w:tbl>
      <w:tblPr>
        <w:tblW w:w="9360" w:type="dxa"/>
        <w:tblBorders>
          <w:top w:val="none"/>
          <w:left w:val="none"/>
          <w:bottom w:val="single" w:sz="4" w:color="E2E6EC"/>
          <w:right w:val="none"/>
          <w:insideH w:val="none"/>
          <w:insideV w:val="none"/>
        </w:tblBorders>
      </w:tblPr>
      <w:tblGrid>
        <w:gridCol w:w="1440"/>
        <w:gridCol w:w="7920"/>
      </w:tblGrid>
      <w:tr>
        <w:tc>
          <w:tcPr>
            <w:tcW w:w="1440" w:type="dxa"/>
            <w:shd w:val="clear" w:color="auto" w:fill="EEF3FD"/>
          </w:tcPr>
          <w:p>
            <w:pPr>
              <w:jc w:val="center"/>
              <w:spacing w:after="0"/>
            </w:pPr>
            <w:r>
              <w:rPr>
                <w:b/>
                <w:color w:val="1A6FEF"/>
                <w:sz w:val="18"/>
              </w:rPr>
              <w:t>OPEN</w:t>
            </w:r>
          </w:p>
        </w:tc>
        <w:tc>
          <w:tcPr>
            <w:tcW w:w="7920" w:type="dxa"/>
          </w:tcPr>
          <w:p>
            <w:pPr>
              <w:spacing w:after="0"/>
            </w:pPr>
            <w:r>
              <w:sz w:val="20"/>
              <w:t xml:space="preserve">Project is active — work in progress and costs accumulating.</w:t>
            </w:r>
          </w:p>
        </w:tc>
      </w:tr>
    </w:tbl>
    <w:tbl>
      <w:tblPr>
        <w:tblW w:w="9360" w:type="dxa"/>
        <w:tblBorders>
          <w:top w:val="none"/>
          <w:left w:val="none"/>
          <w:bottom w:val="single" w:sz="4" w:color="E2E6EC"/>
          <w:right w:val="none"/>
          <w:insideH w:val="none"/>
          <w:insideV w:val="none"/>
        </w:tblBorders>
      </w:tblPr>
      <w:tblGrid>
        <w:gridCol w:w="1440"/>
        <w:gridCol w:w="7920"/>
      </w:tblGrid>
      <w:tr>
        <w:tc>
          <w:tcPr>
            <w:tcW w:w="1440" w:type="dxa"/>
            <w:shd w:val="clear" w:color="auto" w:fill="FDF5E0"/>
          </w:tcPr>
          <w:p>
            <w:pPr>
              <w:jc w:val="center"/>
              <w:spacing w:after="0"/>
            </w:pPr>
            <w:r>
              <w:rPr>
                <w:b/>
                <w:color w:val="9A6F00"/>
                <w:sz w:val="18"/>
              </w:rPr>
              <w:t>CLOSED</w:t>
            </w:r>
          </w:p>
        </w:tc>
        <w:tc>
          <w:tcPr>
            <w:tcW w:w="7920" w:type="dxa"/>
          </w:tcPr>
          <w:p>
            <w:pPr>
              <w:spacing w:after="0"/>
            </w:pPr>
            <w:r>
              <w:sz w:val="20"/>
              <w:t xml:space="preserve">Work is complete but final billing or retention may still be outstanding.</w:t>
            </w:r>
          </w:p>
        </w:tc>
      </w:tr>
    </w:tbl>
    <w:tbl>
      <w:tblPr>
        <w:tblW w:w="9360" w:type="dxa"/>
        <w:tblBorders>
          <w:top w:val="none"/>
          <w:left w:val="none"/>
          <w:bottom w:val="single" w:sz="4" w:color="E2E6EC"/>
          <w:right w:val="none"/>
          <w:insideH w:val="none"/>
          <w:insideV w:val="none"/>
        </w:tblBorders>
      </w:tblPr>
      <w:tblGrid>
        <w:gridCol w:w="1440"/>
        <w:gridCol w:w="7920"/>
      </w:tblGrid>
      <w:tr>
        <w:tc>
          <w:tcPr>
            <w:tcW w:w="1440" w:type="dxa"/>
            <w:shd w:val="clear" w:color="auto" w:fill="F0F2F5"/>
          </w:tcPr>
          <w:p>
            <w:pPr>
              <w:jc w:val="center"/>
              <w:spacing w:after="0"/>
            </w:pPr>
            <w:r>
              <w:rPr>
                <w:b/>
                <w:color w:val="5A6378"/>
                <w:sz w:val="18"/>
              </w:rPr>
              <w:t>FINALIZED</w:t>
            </w:r>
          </w:p>
        </w:tc>
        <w:tc>
          <w:tcPr>
            <w:tcW w:w="7920" w:type="dxa"/>
          </w:tcPr>
          <w:p>
            <w:pPr>
              <w:spacing w:after="0"/>
            </w:pPr>
            <w:r>
              <w:sz w:val="20"/>
              <w:t xml:space="preserve">Job is fully closed — all billing settled and books reconciled.</w:t>
            </w:r>
          </w:p>
        </w:tc>
      </w:tr>
    </w:tbl>
    <w:p>
      <w:pPr>
        <w:pStyle w:val="Normal"/>
      </w:pPr>
    </w:p>
    <w:p>
      <w:pPr>
        <w:pStyle w:val="Heading2"/>
      </w:pPr>
      <w:r>
        <w:t xml:space="preserve">Margin Badges</w:t>
      </w:r>
    </w:p>
    <w:p>
      <w:pPr>
        <w:pStyle w:val="Normal"/>
      </w:pPr>
      <w:r>
        <w:t xml:space="preserve">Margin badges appear on every row in the Job Scorecard and Project Scorecard tables.</w:t>
      </w:r>
    </w:p>
    <w:tbl>
      <w:tblPr>
        <w:tblW w:w="9360" w:type="dxa"/>
        <w:tblBorders>
          <w:top w:val="none"/>
          <w:left w:val="none"/>
          <w:bottom w:val="single" w:sz="4" w:color="E2E6EC"/>
          <w:right w:val="none"/>
          <w:insideH w:val="none"/>
          <w:insideV w:val="none"/>
        </w:tblBorders>
      </w:tblPr>
      <w:tblGrid>
        <w:gridCol w:w="1440"/>
        <w:gridCol w:w="7920"/>
      </w:tblGrid>
      <w:tr>
        <w:tc>
          <w:tcPr>
            <w:tcW w:w="1440" w:type="dxa"/>
            <w:shd w:val="clear" w:color="auto" w:fill="E6F5EC"/>
          </w:tcPr>
          <w:p>
            <w:pPr>
              <w:jc w:val="center"/>
              <w:spacing w:after="0"/>
            </w:pPr>
            <w:r>
              <w:rPr>
                <w:b/>
                <w:color w:val="1A8A4A"/>
                <w:sz w:val="20"/>
              </w:rPr>
              <w:t>+12.4%</w:t>
            </w:r>
          </w:p>
        </w:tc>
        <w:tc>
          <w:tcPr>
            <w:tcW w:w="7920" w:type="dxa"/>
          </w:tcPr>
          <w:p>
            <w:pPr>
              <w:spacing w:after="0"/>
            </w:pPr>
            <w:r>
              <w:sz w:val="20"/>
              <w:t xml:space="preserve">Healthy margin — 8% or above on revenue. Performing at or above bid expectations.</w:t>
            </w:r>
          </w:p>
        </w:tc>
      </w:tr>
    </w:tbl>
    <w:tbl>
      <w:tblPr>
        <w:tblW w:w="9360" w:type="dxa"/>
        <w:tblBorders>
          <w:top w:val="none"/>
          <w:left w:val="none"/>
          <w:bottom w:val="single" w:sz="4" w:color="E2E6EC"/>
          <w:right w:val="none"/>
          <w:insideH w:val="none"/>
          <w:insideV w:val="none"/>
        </w:tblBorders>
      </w:tblPr>
      <w:tblGrid>
        <w:gridCol w:w="1440"/>
        <w:gridCol w:w="7920"/>
      </w:tblGrid>
      <w:tr>
        <w:tc>
          <w:tcPr>
            <w:tcW w:w="1440" w:type="dxa"/>
            <w:shd w:val="clear" w:color="auto" w:fill="FDF5E0"/>
          </w:tcPr>
          <w:p>
            <w:pPr>
              <w:jc w:val="center"/>
              <w:spacing w:after="0"/>
            </w:pPr>
            <w:r>
              <w:rPr>
                <w:b/>
                <w:color w:val="9A6F00"/>
                <w:sz w:val="20"/>
              </w:rPr>
              <w:t>+4.1%</w:t>
            </w:r>
          </w:p>
        </w:tc>
        <w:tc>
          <w:tcPr>
            <w:tcW w:w="7920" w:type="dxa"/>
          </w:tcPr>
          <w:p>
            <w:pPr>
              <w:spacing w:after="0"/>
            </w:pPr>
            <w:r>
              <w:sz w:val="20"/>
              <w:t xml:space="preserve">Thin margin — between 0% and 8%. Below target; watch for cost growth or CO slippage.</w:t>
            </w:r>
          </w:p>
        </w:tc>
      </w:tr>
    </w:tbl>
    <w:tbl>
      <w:tblPr>
        <w:tblW w:w="9360" w:type="dxa"/>
        <w:tblBorders>
          <w:top w:val="none"/>
          <w:left w:val="none"/>
          <w:bottom w:val="single" w:sz="4" w:color="E2E6EC"/>
          <w:right w:val="none"/>
          <w:insideH w:val="none"/>
          <w:insideV w:val="none"/>
        </w:tblBorders>
      </w:tblPr>
      <w:tblGrid>
        <w:gridCol w:w="1440"/>
        <w:gridCol w:w="7920"/>
      </w:tblGrid>
      <w:tr>
        <w:tc>
          <w:tcPr>
            <w:tcW w:w="1440" w:type="dxa"/>
            <w:shd w:val="clear" w:color="auto" w:fill="FCEAEA"/>
          </w:tcPr>
          <w:p>
            <w:pPr>
              <w:jc w:val="center"/>
              <w:spacing w:after="0"/>
            </w:pPr>
            <w:r>
              <w:rPr>
                <w:b/>
                <w:color w:val="C8292A"/>
                <w:sz w:val="20"/>
              </w:rPr>
              <w:t>–6.2%</w:t>
            </w:r>
          </w:p>
        </w:tc>
        <w:tc>
          <w:tcPr>
            <w:tcW w:w="7920" w:type="dxa"/>
          </w:tcPr>
          <w:p>
            <w:pPr>
              <w:spacing w:after="0"/>
            </w:pPr>
            <w:r>
              <w:sz w:val="20"/>
              <w:t xml:space="preserve">Loss position — margin on revenue is negative. Job is losing money; requires PM attention.</w:t>
            </w:r>
          </w:p>
        </w:tc>
      </w:tr>
    </w:tbl>
    <w:p>
      <w:pPr>
        <w:pStyle w:val="Normal"/>
      </w:pPr>
    </w:p>
    <w:p>
      <w:pPr>
        <w:pStyle w:val="Heading2"/>
      </w:pPr>
      <w:r>
        <w:t xml:space="preserve">KPI Tile Stripe Colors</w:t>
      </w:r>
    </w:p>
    <w:p>
      <w:pPr>
        <w:pStyle w:val="Normal"/>
      </w:pPr>
      <w:r>
        <w:t xml:space="preserve">The colored stripe at the top of each KPI tile indicates the metric's category — not its health. A red stripe for Outstanding A/R doesn't mean something is wrong; it marks a receivables metric. Interpret the number in context.</w:t>
      </w:r>
    </w:p>
    <w:p>
      <w:pPr>
        <w:pStyle w:val="Normal"/>
      </w:pPr>
    </w:p>
    <w:p>
      <w:pPr>
        <w:pStyle w:val="Normal"/>
      </w:pPr>
      <w:r>
        <w:rPr>
          <w:b/>
          <w:bCs/>
        </w:rPr>
        <w:t xml:space="preserve">Blue stripe:</w:t>
      </w:r>
      <w:r>
        <w:t xml:space="preserve"> Revenue, Billing, JTD Earned Revenue</w:t>
      </w:r>
    </w:p>
    <w:p>
      <w:pPr>
        <w:pStyle w:val="Normal"/>
      </w:pPr>
      <w:r>
        <w:rPr>
          <w:b/>
          <w:bCs/>
        </w:rPr>
        <w:t xml:space="preserve">Green stripe:</w:t>
      </w:r>
      <w:r>
        <w:t xml:space="preserve"> Profit, Margin, Collection Rate, Earned Margin</w:t>
      </w:r>
    </w:p>
    <w:p>
      <w:pPr>
        <w:pStyle w:val="Normal"/>
      </w:pPr>
      <w:r>
        <w:rPr>
          <w:b/>
          <w:bCs/>
        </w:rPr>
        <w:t xml:space="preserve">Yellow stripe:</w:t>
      </w:r>
      <w:r>
        <w:t xml:space="preserve"> Billed, Collected, Cash Position</w:t>
      </w:r>
    </w:p>
    <w:p>
      <w:pPr>
        <w:pStyle w:val="Normal"/>
      </w:pPr>
      <w:r>
        <w:rPr>
          <w:b/>
          <w:bCs/>
        </w:rPr>
        <w:t xml:space="preserve">Red stripe:</w:t>
      </w:r>
      <w:r>
        <w:t xml:space="preserve"> Outstanding A/R, Monthly Δ Contingency</w:t>
      </w:r>
    </w:p>
    <w:p>
      <w:pPr>
        <w:pStyle w:val="Normal"/>
      </w:pPr>
      <w:r>
        <w:rPr>
          <w:b/>
          <w:bCs/>
        </w:rPr>
        <w:t xml:space="preserve">Purple stripe:</w:t>
      </w:r>
      <w:r>
        <w:t xml:space="preserve"> JTD Costs</w:t>
      </w:r>
    </w:p>
    <w:p>
      <w:pPr>
        <w:pStyle w:val="Normal"/>
      </w:pPr>
    </w:p>
    <w:p>
      <w:pPr>
        <w:pBdr>
          <w:bottom w:val="single" w:sz="6" w:space="1" w:color="C8D0E0"/>
        </w:pBdr>
      </w:pPr>
    </w:p>
    <w:p>
      <w:pPr>
        <w:pStyle w:val="Normal"/>
      </w:pPr>
    </w:p>
    <w:p>
      <w:pPr>
        <w:pStyle w:val="Heading1"/>
      </w:pPr>
      <w:r>
        <w:t xml:space="preserve">5. KPI Definitions</w:t>
      </w:r>
    </w:p>
    <w:p>
      <w:pPr>
        <w:pStyle w:val="Normal"/>
      </w:pPr>
      <w:r>
        <w:t xml:space="preserve">Plain-English explanations of every term used in the dashboard.</w:t>
      </w:r>
    </w:p>
    <w:p>
      <w:pPr>
        <w:pStyle w:val="Normal"/>
      </w:pPr>
    </w:p>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Total Portfolio Revenue</w:t>
            </w:r>
          </w:p>
        </w:tc>
        <w:tc>
          <w:tcPr>
            <w:tcW w:w="7200" w:type="dxa"/>
          </w:tcPr>
          <w:p>
            <w:pPr>
              <w:spacing w:after="0"/>
            </w:pPr>
            <w:r>
              <w:rPr>
                <w:sz w:val="20"/>
              </w:rPr>
              <w:t xml:space="preserve">Sum of Total Projected Revenue across all filtered projects. This is the contract value, not what has been earned or billed yet.</w:t>
            </w:r>
          </w:p>
        </w:tc>
      </w:tr>
    </w:tbl>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Total Profit</w:t>
            </w:r>
          </w:p>
        </w:tc>
        <w:tc>
          <w:tcPr>
            <w:tcW w:w="7200" w:type="dxa"/>
          </w:tcPr>
          <w:p>
            <w:pPr>
              <w:spacing w:after="0"/>
            </w:pPr>
            <w:r>
              <w:rPr>
                <w:sz w:val="20"/>
              </w:rPr>
              <w:t xml:space="preserve">Current month profit across the portfolio — revenue minus costs for the period. Can be negative if jobs are running over budget.</w:t>
            </w:r>
          </w:p>
        </w:tc>
      </w:tr>
    </w:tbl>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Blended Margin</w:t>
            </w:r>
          </w:p>
        </w:tc>
        <w:tc>
          <w:tcPr>
            <w:tcW w:w="7200" w:type="dxa"/>
          </w:tcPr>
          <w:p>
            <w:pPr>
              <w:spacing w:after="0"/>
            </w:pPr>
            <w:r>
              <w:rPr>
                <w:sz w:val="20"/>
              </w:rPr>
              <w:t xml:space="preserve">Total profit ÷ total revenue. The portfolio-wide margin percentage, weighted by job size.</w:t>
            </w:r>
          </w:p>
        </w:tc>
      </w:tr>
    </w:tbl>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JTD Costs</w:t>
            </w:r>
          </w:p>
        </w:tc>
        <w:tc>
          <w:tcPr>
            <w:tcW w:w="7200" w:type="dxa"/>
          </w:tcPr>
          <w:p>
            <w:pPr>
              <w:spacing w:after="0"/>
            </w:pPr>
            <w:r>
              <w:rPr>
                <w:sz w:val="20"/>
              </w:rPr>
              <w:t xml:space="preserve">Job-to-date costs — everything spent on the project from day one through the current month.</w:t>
            </w:r>
          </w:p>
        </w:tc>
      </w:tr>
    </w:tbl>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EAC</w:t>
            </w:r>
          </w:p>
        </w:tc>
        <w:tc>
          <w:tcPr>
            <w:tcW w:w="7200" w:type="dxa"/>
          </w:tcPr>
          <w:p>
            <w:pPr>
              <w:spacing w:after="0"/>
            </w:pPr>
            <w:r>
              <w:rPr>
                <w:sz w:val="20"/>
              </w:rPr>
              <w:t xml:space="preserve">Estimate at Completion — the current forecast of total cost to finish the job. Compare to Total Revenue to assess profitability outlook.</w:t>
            </w:r>
          </w:p>
        </w:tc>
      </w:tr>
    </w:tbl>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ETC</w:t>
            </w:r>
          </w:p>
        </w:tc>
        <w:tc>
          <w:tcPr>
            <w:tcW w:w="7200" w:type="dxa"/>
          </w:tcPr>
          <w:p>
            <w:pPr>
              <w:spacing w:after="0"/>
            </w:pPr>
            <w:r>
              <w:rPr>
                <w:sz w:val="20"/>
              </w:rPr>
              <w:t xml:space="preserve">Estimate to Complete — cost remaining from today to project close. ETC = EAC − JTD Costs.</w:t>
            </w:r>
          </w:p>
        </w:tc>
      </w:tr>
    </w:tbl>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Earned Revenue</w:t>
            </w:r>
          </w:p>
        </w:tc>
        <w:tc>
          <w:tcPr>
            <w:tcW w:w="7200" w:type="dxa"/>
          </w:tcPr>
          <w:p>
            <w:pPr>
              <w:spacing w:after="0"/>
            </w:pPr>
            <w:r>
              <w:rPr>
                <w:sz w:val="20"/>
              </w:rPr>
              <w:t xml:space="preserve">Revenue recognized based on % complete × contract value. Differs from Billed — you can earn revenue before or after you invoice.</w:t>
            </w:r>
          </w:p>
        </w:tc>
      </w:tr>
    </w:tbl>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Outstanding A/R</w:t>
            </w:r>
          </w:p>
        </w:tc>
        <w:tc>
          <w:tcPr>
            <w:tcW w:w="7200" w:type="dxa"/>
          </w:tcPr>
          <w:p>
            <w:pPr>
              <w:spacing w:after="0"/>
            </w:pPr>
            <w:r>
              <w:rPr>
                <w:sz w:val="20"/>
              </w:rPr>
              <w:t xml:space="preserve">Billed minus Collected. The amount invoiced but not yet received in cash.</w:t>
            </w:r>
          </w:p>
        </w:tc>
      </w:tr>
    </w:tbl>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Contingency</w:t>
            </w:r>
          </w:p>
        </w:tc>
        <w:tc>
          <w:tcPr>
            <w:tcW w:w="7200" w:type="dxa"/>
          </w:tcPr>
          <w:p>
            <w:pPr>
              <w:spacing w:after="0"/>
            </w:pPr>
            <w:r>
              <w:rPr>
                <w:sz w:val="20"/>
              </w:rPr>
              <w:t xml:space="preserve">Reserved budget for unforeseen costs. A declining contingency balance across months is a warning sign.</w:t>
            </w:r>
          </w:p>
        </w:tc>
      </w:tr>
    </w:tbl>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Movement</w:t>
            </w:r>
          </w:p>
        </w:tc>
        <w:tc>
          <w:tcPr>
            <w:tcW w:w="7200" w:type="dxa"/>
          </w:tcPr>
          <w:p>
            <w:pPr>
              <w:spacing w:after="0"/>
            </w:pPr>
            <w:r>
              <w:rPr>
                <w:sz w:val="20"/>
              </w:rPr>
              <w:t xml:space="preserve">Month-over-month change in profit. Positive = job improved; negative = job deteriorated.</w:t>
            </w:r>
          </w:p>
        </w:tc>
      </w:tr>
    </w:tbl>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Cash Position</w:t>
            </w:r>
          </w:p>
        </w:tc>
        <w:tc>
          <w:tcPr>
            <w:tcW w:w="7200" w:type="dxa"/>
          </w:tcPr>
          <w:p>
            <w:pPr>
              <w:spacing w:after="0"/>
            </w:pPr>
            <w:r>
              <w:rPr>
                <w:sz w:val="20"/>
              </w:rPr>
              <w:t xml:space="preserve">Collected minus JTD costs — a rough proxy for how much cash a project has generated net of costs.</w:t>
            </w:r>
          </w:p>
        </w:tc>
      </w:tr>
    </w:tbl>
    <w:tbl>
      <w:tblPr>
        <w:tblW w:w="9360" w:type="dxa"/>
        <w:tblBorders>
          <w:top w:val="none"/>
          <w:left w:val="none"/>
          <w:bottom w:val="single" w:sz="4" w:color="E2E6EC"/>
          <w:right w:val="none"/>
          <w:insideH w:val="none"/>
          <w:insideV w:val="none"/>
        </w:tblBorders>
      </w:tblPr>
      <w:tblGrid>
        <w:gridCol w:w="2160"/>
        <w:gridCol w:w="7200"/>
      </w:tblGrid>
      <w:tr>
        <w:tc>
          <w:tcPr>
            <w:tcW w:w="2160" w:type="dxa"/>
            <w:shd w:val="clear" w:color="auto" w:fill="EEF3FD"/>
          </w:tcPr>
          <w:p>
            <w:pPr>
              <w:spacing w:after="0"/>
            </w:pPr>
            <w:r>
              <w:rPr>
                <w:b/>
                <w:color w:val="1A6FEF"/>
                <w:sz w:val="20"/>
              </w:rPr>
              <w:t>Collection Rate</w:t>
            </w:r>
          </w:p>
        </w:tc>
        <w:tc>
          <w:tcPr>
            <w:tcW w:w="7200" w:type="dxa"/>
          </w:tcPr>
          <w:p>
            <w:pPr>
              <w:spacing w:after="0"/>
            </w:pPr>
            <w:r>
              <w:rPr>
                <w:sz w:val="20"/>
              </w:rPr>
              <w:t xml:space="preserve">Total Collected ÷ Total Billed. Below 90% across the portfolio is worth investigating.</w:t>
            </w:r>
          </w:p>
        </w:tc>
      </w:tr>
    </w:tbl>
    <w:p>
      <w:pPr>
        <w:pStyle w:val="Normal"/>
      </w:pPr>
    </w:p>
    <w:p>
      <w:pPr>
        <w:pBdr>
          <w:bottom w:val="single" w:sz="6" w:space="1" w:color="C8D0E0"/>
        </w:pBdr>
      </w:pPr>
    </w:p>
    <w:p>
      <w:pPr>
        <w:pStyle w:val="Normal"/>
      </w:pPr>
    </w:p>
    <w:p>
      <w:pPr>
        <w:pStyle w:val="Heading1"/>
      </w:pPr>
      <w:r>
        <w:t xml:space="preserve">6. Tab-by-Tab Guide</w:t>
      </w:r>
    </w:p>
    <w:p>
      <w:pPr>
        <w:pStyle w:val="Normal"/>
      </w:pPr>
    </w:p>
    <w:p>
      <w:pPr>
        <w:pStyle w:val="Heading2"/>
      </w:pPr>
      <w:r>
        <w:t xml:space="preserve">Tab 1: Executive Overview</w:t>
      </w:r>
    </w:p>
    <w:p>
      <w:pPr>
        <w:pStyle w:val="ListParagraph"/>
        <w:numPr>
          <w:ilvl w:val="0"/>
          <w:numId w:val="1"/>
        </w:numPr>
      </w:pPr>
      <w:r>
        <w:t xml:space="preserve">The starting point. Shows portfolio-level KPIs, a Revenue &amp; Profit Trend chart, a Portfolio Revenue Mix donut, and a Margin Distribution histogram.</w:t>
      </w:r>
    </w:p>
    <w:p>
      <w:pPr>
        <w:pStyle w:val="ListParagraph"/>
        <w:numPr>
          <w:ilvl w:val="0"/>
          <w:numId w:val="1"/>
        </w:numPr>
      </w:pPr>
      <w:r>
        <w:rPr>
          <w:b/>
          <w:bCs/>
        </w:rPr>
        <w:t xml:space="preserve">Trend chart:</w:t>
      </w:r>
      <w:r>
        <w:t xml:space="preserve"> Spans the date range you set — use it to spot months where profit dropped and investigate further.</w:t>
      </w:r>
    </w:p>
    <w:p>
      <w:pPr>
        <w:pStyle w:val="ListParagraph"/>
        <w:numPr>
          <w:ilvl w:val="0"/>
          <w:numId w:val="1"/>
        </w:numPr>
      </w:pPr>
      <w:r>
        <w:rPr>
          <w:b/>
          <w:bCs/>
        </w:rPr>
        <w:t xml:space="preserve">Revenue mix donut:</w:t>
      </w:r>
      <w:r>
        <w:t xml:space="preserve"> Shows your top 8 jobs by contract size. Everything else rolls into 'Other.'</w:t>
      </w:r>
    </w:p>
    <w:p>
      <w:pPr>
        <w:pStyle w:val="ListParagraph"/>
        <w:numPr>
          <w:ilvl w:val="0"/>
          <w:numId w:val="1"/>
        </w:numPr>
      </w:pPr>
      <w:r>
        <w:rPr>
          <w:b/>
          <w:bCs/>
        </w:rPr>
        <w:t xml:space="preserve">Margin distribution histogram:</w:t>
      </w:r>
      <w:r>
        <w:t xml:space="preserve"> Shows how many jobs sit in each margin band — a cluster in the red/yellow zone is a portfolio-level signal.</w:t>
      </w:r>
    </w:p>
    <w:p>
      <w:pPr>
        <w:pStyle w:val="ListParagraph"/>
        <w:numPr>
          <w:ilvl w:val="0"/>
          <w:numId w:val="1"/>
        </w:numPr>
      </w:pPr>
      <w:r>
        <w:rPr>
          <w:b/>
          <w:bCs/>
        </w:rPr>
        <w:t xml:space="preserve">Current vs. Previous Month chart:</w:t>
      </w:r>
      <w:r>
        <w:t xml:space="preserve"> Pick any metric and see how each job moved month over month.</w:t>
      </w:r>
    </w:p>
    <w:p>
      <w:pPr>
        <w:pStyle w:val="Normal"/>
      </w:pPr>
    </w:p>
    <w:p>
      <w:pPr>
        <w:pStyle w:val="Heading2"/>
      </w:pPr>
      <w:r>
        <w:t xml:space="preserve">Tab 2: Job Performance</w:t>
      </w:r>
    </w:p>
    <w:p>
      <w:pPr>
        <w:pStyle w:val="ListParagraph"/>
        <w:numPr>
          <w:ilvl w:val="0"/>
          <w:numId w:val="1"/>
        </w:numPr>
      </w:pPr>
      <w:r>
        <w:t xml:space="preserve">Per-job detail. The Job Scorecard table lists every project with margin badge, % complete, billed, and movement.</w:t>
      </w:r>
    </w:p>
    <w:p>
      <w:pPr>
        <w:pStyle w:val="ListParagraph"/>
        <w:numPr>
          <w:ilvl w:val="0"/>
          <w:numId w:val="1"/>
        </w:numPr>
      </w:pPr>
      <w:r>
        <w:t xml:space="preserve">Click a row (or use the Job # filter) to load the single-job drill-down panel below the table.</w:t>
      </w:r>
    </w:p>
    <w:p>
      <w:pPr>
        <w:pStyle w:val="ListParagraph"/>
        <w:numPr>
          <w:ilvl w:val="0"/>
          <w:numId w:val="1"/>
        </w:numPr>
      </w:pPr>
      <w:r>
        <w:rPr>
          <w:b/>
          <w:bCs/>
        </w:rPr>
        <w:t xml:space="preserve">Month-over-Month Trend:</w:t>
      </w:r>
      <w:r>
        <w:t xml:space="preserve"> Shows how a single job's chosen metric has changed over time.</w:t>
      </w:r>
    </w:p>
    <w:p>
      <w:pPr>
        <w:pStyle w:val="ListParagraph"/>
        <w:numPr>
          <w:ilvl w:val="0"/>
          <w:numId w:val="1"/>
        </w:numPr>
      </w:pPr>
      <w:r>
        <w:rPr>
          <w:b/>
          <w:bCs/>
        </w:rPr>
        <w:t xml:space="preserve">Bid vs. Current Profit chart:</w:t>
      </w:r>
      <w:r>
        <w:t xml:space="preserve"> Compares estimated profit at award versus today — a shrinking bar means the job is burning through its margin.</w:t>
      </w:r>
    </w:p>
    <w:p>
      <w:pPr>
        <w:pStyle w:val="ListParagraph"/>
        <w:numPr>
          <w:ilvl w:val="0"/>
          <w:numId w:val="1"/>
        </w:numPr>
      </w:pPr>
      <w:r>
        <w:t xml:space="preserve">Sort the scorecard by any column to quickly rank jobs by margin, revenue, or % complete.</w:t>
      </w:r>
    </w:p>
    <w:p>
      <w:pPr>
        <w:pStyle w:val="Normal"/>
      </w:pPr>
    </w:p>
    <w:p>
      <w:pPr>
        <w:pStyle w:val="Heading2"/>
      </w:pPr>
      <w:r>
        <w:t xml:space="preserve">Tab 3: Project Health</w:t>
      </w:r>
    </w:p>
    <w:p>
      <w:pPr>
        <w:pStyle w:val="ListParagraph"/>
        <w:numPr>
          <w:ilvl w:val="0"/>
          <w:numId w:val="1"/>
        </w:numPr>
      </w:pPr>
      <w:r>
        <w:t xml:space="preserve">Focuses on cost exposure and completion risk.</w:t>
      </w:r>
    </w:p>
    <w:p>
      <w:pPr>
        <w:pStyle w:val="ListParagraph"/>
        <w:numPr>
          <w:ilvl w:val="0"/>
          <w:numId w:val="1"/>
        </w:numPr>
      </w:pPr>
      <w:r>
        <w:rPr>
          <w:b/>
          <w:bCs/>
        </w:rPr>
        <w:t xml:space="preserve">ETC Breakdown chart:</w:t>
      </w:r>
      <w:r>
        <w:t xml:space="preserve"> Shows how much of each job's remaining budget is contingency versus actual work remaining.</w:t>
      </w:r>
    </w:p>
    <w:p>
      <w:pPr>
        <w:pStyle w:val="ListParagraph"/>
        <w:numPr>
          <w:ilvl w:val="0"/>
          <w:numId w:val="1"/>
        </w:numPr>
      </w:pPr>
      <w:r>
        <w:rPr>
          <w:b/>
          <w:bCs/>
        </w:rPr>
        <w:t xml:space="preserve">EAC vs. Revenue chart:</w:t>
      </w:r>
      <w:r>
        <w:t xml:space="preserve"> Flags jobs where the Estimate at Completion is approaching or exceeding contract revenue — these are your loss candidates.</w:t>
      </w:r>
    </w:p>
    <w:p>
      <w:pPr>
        <w:pStyle w:val="ListParagraph"/>
        <w:numPr>
          <w:ilvl w:val="0"/>
          <w:numId w:val="1"/>
        </w:numPr>
      </w:pPr>
      <w:r>
        <w:t xml:space="preserve">A job with high EAC relative to revenue AND low contingency remaining is a double warning sign.</w:t>
      </w:r>
    </w:p>
    <w:p>
      <w:pPr>
        <w:pStyle w:val="ListParagraph"/>
        <w:numPr>
          <w:ilvl w:val="0"/>
          <w:numId w:val="1"/>
        </w:numPr>
      </w:pPr>
      <w:r>
        <w:t xml:space="preserve">The Project Scorecard adds EAC, ETC, contingency, and earned margin columns alongside the margin badge.</w:t>
      </w:r>
    </w:p>
    <w:p>
      <w:pPr>
        <w:pStyle w:val="Normal"/>
      </w:pPr>
    </w:p>
    <w:p>
      <w:pPr>
        <w:pStyle w:val="Heading2"/>
      </w:pPr>
      <w:r>
        <w:t xml:space="preserve">Tab 4: Cash &amp; Billing</w:t>
      </w:r>
    </w:p>
    <w:p>
      <w:pPr>
        <w:pStyle w:val="ListParagraph"/>
        <w:numPr>
          <w:ilvl w:val="0"/>
          <w:numId w:val="1"/>
        </w:numPr>
      </w:pPr>
      <w:r>
        <w:t xml:space="preserve">Tracks the gap between work performed, invoices sent, and cash received.</w:t>
      </w:r>
    </w:p>
    <w:p>
      <w:pPr>
        <w:pStyle w:val="ListParagraph"/>
        <w:numPr>
          <w:ilvl w:val="0"/>
          <w:numId w:val="1"/>
        </w:numPr>
      </w:pPr>
      <w:r>
        <w:rPr>
          <w:b/>
          <w:bCs/>
        </w:rPr>
        <w:t xml:space="preserve">Billing Progress by Job:</w:t>
      </w:r>
      <w:r>
        <w:t xml:space="preserve"> Shows each job's % billed vs % complete. A job ahead of billing may have a future cash inflow; one behind may need an invoice pushed.</w:t>
      </w:r>
    </w:p>
    <w:p>
      <w:pPr>
        <w:pStyle w:val="ListParagraph"/>
        <w:numPr>
          <w:ilvl w:val="0"/>
          <w:numId w:val="1"/>
        </w:numPr>
      </w:pPr>
      <w:r>
        <w:rPr>
          <w:b/>
          <w:bCs/>
        </w:rPr>
        <w:t xml:space="preserve">A/R Outstanding by Job:</w:t>
      </w:r>
      <w:r>
        <w:t xml:space="preserve"> Ranks jobs by uncollected receivables.</w:t>
      </w:r>
    </w:p>
    <w:p>
      <w:pPr>
        <w:pStyle w:val="ListParagraph"/>
        <w:numPr>
          <w:ilvl w:val="0"/>
          <w:numId w:val="1"/>
        </w:numPr>
      </w:pPr>
      <w:r>
        <w:rPr>
          <w:b/>
          <w:bCs/>
        </w:rPr>
        <w:t xml:space="preserve">Cash Flow &amp; % Complete chart:</w:t>
      </w:r>
      <w:r>
        <w:t xml:space="preserve"> Tracks how cash position moves as a project progresses.</w:t>
      </w:r>
    </w:p>
    <w:p>
      <w:pPr>
        <w:pStyle w:val="ListParagraph"/>
        <w:numPr>
          <w:ilvl w:val="0"/>
          <w:numId w:val="1"/>
        </w:numPr>
      </w:pPr>
      <w:r>
        <w:rPr>
          <w:b/>
          <w:bCs/>
        </w:rPr>
        <w:t xml:space="preserve">Collection Rate</w:t>
      </w:r>
      <w:r>
        <w:t xml:space="preserve"> (Total Collected ÷ Total Billed) is in the KPI row — below 90% across the portfolio is worth investigating.</w:t>
      </w:r>
    </w:p>
    <w:p>
      <w:pPr>
        <w:pStyle w:val="Normal"/>
      </w:pPr>
    </w:p>
    <w:p>
      <w:pPr>
        <w:pStyle w:val="Heading2"/>
      </w:pPr>
      <w:r>
        <w:t xml:space="preserve">Tab 5: Preliminary WIP</w:t>
      </w:r>
    </w:p>
    <w:p>
      <w:pPr>
        <w:pStyle w:val="ListParagraph"/>
        <w:numPr>
          <w:ilvl w:val="0"/>
          <w:numId w:val="1"/>
        </w:numPr>
      </w:pPr>
      <w:r>
        <w:t xml:space="preserve">Earned value metrics — the accounting team's view of recognized revenue and margin before books are formally closed.</w:t>
      </w:r>
    </w:p>
    <w:p>
      <w:pPr>
        <w:pStyle w:val="ListParagraph"/>
        <w:numPr>
          <w:ilvl w:val="0"/>
          <w:numId w:val="1"/>
        </w:numPr>
      </w:pPr>
      <w:r>
        <w:rPr>
          <w:b/>
          <w:bCs/>
        </w:rPr>
        <w:t xml:space="preserve">JTD Earned Revenue:</w:t>
      </w:r>
      <w:r>
        <w:t xml:space="preserve"> Cumulative recognized revenue based on % complete. Compare to Total Billed to understand over/under-billing.</w:t>
      </w:r>
    </w:p>
    <w:p>
      <w:pPr>
        <w:pStyle w:val="ListParagraph"/>
        <w:numPr>
          <w:ilvl w:val="0"/>
          <w:numId w:val="1"/>
        </w:numPr>
      </w:pPr>
      <w:r>
        <w:rPr>
          <w:b/>
          <w:bCs/>
        </w:rPr>
        <w:t xml:space="preserve">Monthly Δ Contingency:</w:t>
      </w:r>
      <w:r>
        <w:t xml:space="preserve"> Shows how much contingency was consumed this month. Negative = contingency was drawn down.</w:t>
      </w:r>
    </w:p>
    <w:p>
      <w:pPr>
        <w:pStyle w:val="ListParagraph"/>
        <w:numPr>
          <w:ilvl w:val="0"/>
          <w:numId w:val="1"/>
        </w:numPr>
      </w:pPr>
      <w:r>
        <w:rPr>
          <w:b/>
          <w:bCs/>
        </w:rPr>
        <w:t xml:space="preserve">Earned Revenue — Cumulative &amp; Incremental chart:</w:t>
      </w:r>
      <w:r>
        <w:t xml:space="preserve"> Shows both the running total and each month's slice — useful for spotting months where recognized revenue spiked or dropped.</w:t>
      </w:r>
    </w:p>
    <w:p>
      <w:pPr>
        <w:pStyle w:val="ListParagraph"/>
        <w:numPr>
          <w:ilvl w:val="0"/>
          <w:numId w:val="1"/>
        </w:numPr>
      </w:pPr>
      <w:r>
        <w:t xml:space="preserve">The WIP Scorecard table includes earned margin, remaining margin, and % complete side by side for every job.</w:t>
      </w:r>
    </w:p>
    <w:p>
      <w:pPr>
        <w:pStyle w:val="Normal"/>
      </w:pP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2"/>
        <w:szCs w:val="22"/>
        <w:lang w:val="en-US"/>
      </w:rPr>
    </w:rPrDefault>
    <w:pPrDefault>
      <w:pPr>
        <w:spacing w:after="160" w:line="276" w:lineRule="auto"/>
      </w:pPr>
    </w:pPrDefault>
  </w:docDefaults>
  <w:style w:type="paragraph" w:styleId="Normal" w:default="1">
    <w:name w:val="Normal"/>
  </w:style>
  <w:style w:type="paragraph" w:styleId="Heading1">
    <w:name w:val="heading 1"/>
    <w:basedOn w:val="Normal"/>
    <w:pPr>
      <w:spacing w:before="320" w:after="120"/>
      <w:outlineLvl w:val="0"/>
    </w:pPr>
    <w:rPr>
      <w:b/>
      <w:bCs/>
      <w:sz w:val="36"/>
      <w:szCs w:val="36"/>
      <w:color w:val="1A1F2E"/>
    </w:rPr>
  </w:style>
  <w:style w:type="paragraph" w:styleId="Heading2">
    <w:name w:val="heading 2"/>
    <w:basedOn w:val="Normal"/>
    <w:pPr>
      <w:spacing w:before="240" w:after="80"/>
      <w:outlineLvl w:val="1"/>
    </w:pPr>
    <w:rPr>
      <w:b/>
      <w:bCs/>
      <w:sz w:val="26"/>
      <w:szCs w:val="26"/>
      <w:color w:val="2C3550"/>
    </w:rPr>
  </w:style>
  <w:style w:type="paragraph" w:styleId="ListParagraph">
    <w:name w:val="List Paragraph"/>
    <w:basedOn w:val="Normal"/>
    <w:pPr>
      <w:ind w:left="720"/>
      <w:spacing w:after="10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