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Development &amp; Coding Standards</w:t>
      </w:r>
    </w:p>
    <w:p>
      <w:r>
        <w:rPr>
          <w:b/>
        </w:rPr>
        <w:t>Version 1.0</w:t>
      </w:r>
      <w:r>
        <w:t xml:space="preserve"> · Companion to the Application Specification (v1.1)</w:t>
      </w:r>
    </w:p>
    <w:p>
      <w:r>
        <w:t>Defines repository structure, conventions, and quality gates for the backend, Android, and</w:t>
      </w:r>
    </w:p>
    <w:p>
      <w:r>
        <w:t>web codebases. Implements app-spec §28 (project structure) and §26 (testing).</w:t>
      </w:r>
    </w:p>
    <w:p>
      <w:pPr>
        <w:pStyle w:val="Heading2"/>
      </w:pPr>
      <w:r>
        <w:t>1. Purpose</w:t>
      </w:r>
    </w:p>
    <w:p>
      <w:r>
        <w:t>One consistent way of working across three codebases so any contributor can navigate and</w:t>
      </w:r>
    </w:p>
    <w:p>
      <w:r>
        <w:t>extend the system safely. Business rules live in the backend and are shared by both clients</w:t>
      </w:r>
    </w:p>
    <w:p>
      <w:r>
        <w:t>(§29); these standards keep that boundary clean.</w:t>
      </w:r>
    </w:p>
    <w:p>
      <w:pPr>
        <w:pStyle w:val="Heading2"/>
      </w:pPr>
      <w:r>
        <w:t>2. Repository layout</w:t>
      </w:r>
    </w:p>
    <w:p>
      <w:r>
        <w:t>Mono-repo or three repos; either way the structure follows app-spec §28.</w:t>
      </w:r>
    </w:p>
    <w:p>
      <w:pPr>
        <w:pStyle w:val="Heading3"/>
      </w:pPr>
      <w:r>
        <w:t xml:space="preserve">2.1 Backend — </w:t>
      </w:r>
      <w:r>
        <w:rPr>
          <w:rFonts w:ascii="Consolas" w:hAnsi="Consolas"/>
          <w:color w:val="8A3B2E"/>
          <w:sz w:val="19"/>
        </w:rPr>
        <w:t>BakiBondhu.Api</w:t>
      </w:r>
      <w:r>
        <w:t xml:space="preserve"> (ASP.NET Core, Clean Architecture)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BakiBondhu.Api            → controllers, DTOs, filters, auth, composition root</w:t>
        <w:br/>
        <w:t>BakiBondhu.Application    → use-cases, validators, DTO mapping, interfaces</w:t>
        <w:br/>
        <w:t>BakiBondhu.Domain         → entities, value objects, domain rules (balance, allocation)</w:t>
        <w:br/>
        <w:t>BakiBondhu.Infrastructure → EF Core/Dapper, PostgreSQL, gateways, RLS session setup</w:t>
        <w:br/>
        <w:t>BakiBondhu.Tests          → unit + integration tests</w:t>
      </w:r>
    </w:p>
    <w:p>
      <w:pPr>
        <w:pStyle w:val="ListBullet"/>
      </w:pPr>
      <w:r>
        <w:rPr>
          <w:b/>
        </w:rPr>
        <w:t>Domain has no framework dependencies.</w:t>
      </w:r>
      <w:r>
        <w:t xml:space="preserve"> Balance = Σ(amount × balance_sign), FIFO</w:t>
      </w:r>
    </w:p>
    <w:p>
      <w:r>
        <w:t>allocation, and aging rules live in Domain and are unit-tested in isolation.</w:t>
      </w:r>
    </w:p>
    <w:p>
      <w:pPr>
        <w:pStyle w:val="ListBullet"/>
      </w:pPr>
      <w:r>
        <w:t>Every request sets the tenant context (</w:t>
      </w:r>
      <w:r>
        <w:rPr>
          <w:rFonts w:ascii="Consolas" w:hAnsi="Consolas"/>
          <w:color w:val="8A3B2E"/>
          <w:sz w:val="19"/>
        </w:rPr>
        <w:t>app.current_business_id</w:t>
      </w:r>
      <w:r>
        <w:t xml:space="preserve">, </w:t>
      </w:r>
      <w:r>
        <w:rPr>
          <w:rFonts w:ascii="Consolas" w:hAnsi="Consolas"/>
          <w:color w:val="8A3B2E"/>
          <w:sz w:val="19"/>
        </w:rPr>
        <w:t>app.current_user_id</w:t>
      </w:r>
      <w:r>
        <w:t>)</w:t>
      </w:r>
    </w:p>
    <w:p>
      <w:r>
        <w:t>and connects as the non-owner app role so RLS binds.</w:t>
      </w:r>
    </w:p>
    <w:p>
      <w:pPr>
        <w:pStyle w:val="Heading3"/>
      </w:pPr>
      <w:r>
        <w:t>2.2 Android — Flutter (feature-first)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core/ data/ domain/</w:t>
        <w:br/>
        <w:t>features/{auth,dashboard,customers,transactions,collections,reminders,settings}</w:t>
        <w:br/>
        <w:t>sync/</w:t>
      </w:r>
    </w:p>
    <w:p>
      <w:pPr>
        <w:pStyle w:val="ListBullet"/>
      </w:pPr>
      <w:r>
        <w:t>Local SQLite via drift/sqflite; repositories abstract local vs remote; the sync engine</w:t>
      </w:r>
    </w:p>
    <w:p>
      <w:r>
        <w:t xml:space="preserve">lives in </w:t>
      </w:r>
      <w:r>
        <w:rPr>
          <w:rFonts w:ascii="Consolas" w:hAnsi="Consolas"/>
          <w:color w:val="8A3B2E"/>
          <w:sz w:val="19"/>
        </w:rPr>
        <w:t>sync/</w:t>
      </w:r>
      <w:r>
        <w:t xml:space="preserve"> (see Offline Sync Technical Design).</w:t>
      </w:r>
    </w:p>
    <w:p>
      <w:pPr>
        <w:pStyle w:val="Heading3"/>
      </w:pPr>
      <w:r>
        <w:t>2.3 Web — React + TypeScript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src/{components,pages,features,services,hooks,types,utils,auth}</w:t>
      </w:r>
    </w:p>
    <w:p>
      <w:pPr>
        <w:pStyle w:val="ListBullet"/>
      </w:pPr>
      <w:r>
        <w:t xml:space="preserve">API access via a typed </w:t>
      </w:r>
      <w:r>
        <w:rPr>
          <w:rFonts w:ascii="Consolas" w:hAnsi="Consolas"/>
          <w:color w:val="8A3B2E"/>
          <w:sz w:val="19"/>
        </w:rPr>
        <w:t>services/</w:t>
      </w:r>
      <w:r>
        <w:t xml:space="preserve"> layer; server-driven tables; role gating in </w:t>
      </w:r>
      <w:r>
        <w:rPr>
          <w:rFonts w:ascii="Consolas" w:hAnsi="Consolas"/>
          <w:color w:val="8A3B2E"/>
          <w:sz w:val="19"/>
        </w:rPr>
        <w:t>auth/</w:t>
      </w:r>
      <w:r>
        <w:t>.</w:t>
      </w:r>
    </w:p>
    <w:p>
      <w:pPr>
        <w:pStyle w:val="Heading2"/>
      </w:pPr>
      <w:r>
        <w:t>3. Language &amp; style conventions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Formatter / linter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Naming</w:t>
            </w:r>
          </w:p>
        </w:tc>
      </w:tr>
      <w:tr>
        <w:tc>
          <w:tcPr>
            <w:tcW w:type="dxa" w:w="2880"/>
          </w:tcPr>
          <w:p>
            <w:r/>
            <w:r>
              <w:t>.NET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dotnet format</w:t>
            </w:r>
            <w:r>
              <w:t>, analyzers, nullable enabled</w:t>
            </w:r>
          </w:p>
        </w:tc>
        <w:tc>
          <w:tcPr>
            <w:tcW w:type="dxa" w:w="2880"/>
          </w:tcPr>
          <w:p>
            <w:r/>
            <w:r>
              <w:t>PascalCase types/methods, camelCase locals</w:t>
            </w:r>
          </w:p>
        </w:tc>
      </w:tr>
      <w:tr>
        <w:tc>
          <w:tcPr>
            <w:tcW w:type="dxa" w:w="2880"/>
          </w:tcPr>
          <w:p>
            <w:r/>
            <w:r>
              <w:t>Dart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dart format</w:t>
            </w:r>
            <w:r>
              <w:t xml:space="preserve">, </w:t>
            </w:r>
            <w:r>
              <w:rPr>
                <w:rFonts w:ascii="Consolas" w:hAnsi="Consolas"/>
                <w:color w:val="8A3B2E"/>
                <w:sz w:val="19"/>
              </w:rPr>
              <w:t>flutter analyze</w:t>
            </w:r>
          </w:p>
        </w:tc>
        <w:tc>
          <w:tcPr>
            <w:tcW w:type="dxa" w:w="2880"/>
          </w:tcPr>
          <w:p>
            <w:r/>
            <w:r>
              <w:t>lowerCamelCase members, UpperCamelCase types</w:t>
            </w:r>
          </w:p>
        </w:tc>
      </w:tr>
      <w:tr>
        <w:tc>
          <w:tcPr>
            <w:tcW w:type="dxa" w:w="2880"/>
          </w:tcPr>
          <w:p>
            <w:r/>
            <w:r>
              <w:t>TypeScript</w:t>
            </w:r>
          </w:p>
        </w:tc>
        <w:tc>
          <w:tcPr>
            <w:tcW w:type="dxa" w:w="2880"/>
          </w:tcPr>
          <w:p>
            <w:r/>
            <w:r>
              <w:t xml:space="preserve">Prettier + ESLint, </w:t>
            </w:r>
            <w:r>
              <w:rPr>
                <w:rFonts w:ascii="Consolas" w:hAnsi="Consolas"/>
                <w:color w:val="8A3B2E"/>
                <w:sz w:val="19"/>
              </w:rPr>
              <w:t>strict: true</w:t>
            </w:r>
          </w:p>
        </w:tc>
        <w:tc>
          <w:tcPr>
            <w:tcW w:type="dxa" w:w="2880"/>
          </w:tcPr>
          <w:p>
            <w:r/>
            <w:r>
              <w:t>camelCase, PascalCase components/types</w:t>
            </w:r>
          </w:p>
        </w:tc>
      </w:tr>
    </w:tbl>
    <w:p/>
    <w:p>
      <w:pPr>
        <w:pStyle w:val="ListBullet"/>
      </w:pPr>
      <w:r>
        <w:t>No warnings in CI (treat analyzer warnings as errors on protected branches).</w:t>
      </w:r>
    </w:p>
    <w:p>
      <w:pPr>
        <w:pStyle w:val="ListBullet"/>
      </w:pPr>
      <w:r>
        <w:t>Meaningful names over comments; comment the *why*, not the *what*. Match surrounding style.</w:t>
      </w:r>
    </w:p>
    <w:p>
      <w:pPr>
        <w:pStyle w:val="Heading2"/>
      </w:pPr>
      <w:r>
        <w:t>4. API &amp; data conventions</w:t>
      </w:r>
    </w:p>
    <w:p>
      <w:pPr>
        <w:pStyle w:val="ListBullet"/>
      </w:pPr>
      <w:r>
        <w:t>REST per the API spec: versioned (</w:t>
      </w:r>
      <w:r>
        <w:rPr>
          <w:rFonts w:ascii="Consolas" w:hAnsi="Consolas"/>
          <w:color w:val="8A3B2E"/>
          <w:sz w:val="19"/>
        </w:rPr>
        <w:t>/api/v1</w:t>
      </w:r>
      <w:r>
        <w:t>), JSON, JWT, standard status codes, the shared</w:t>
      </w:r>
    </w:p>
    <w:p>
      <w:r>
        <w:t>error envelope, server-side pagination/filter/sort.</w:t>
      </w:r>
    </w:p>
    <w:p>
      <w:pPr>
        <w:pStyle w:val="ListBullet"/>
      </w:pPr>
      <w:r>
        <w:rPr>
          <w:b/>
        </w:rPr>
        <w:t>Money</w:t>
      </w:r>
      <w:r>
        <w:t xml:space="preserve"> is </w:t>
      </w:r>
      <w:r>
        <w:rPr>
          <w:rFonts w:ascii="Consolas" w:hAnsi="Consolas"/>
          <w:color w:val="8A3B2E"/>
          <w:sz w:val="19"/>
        </w:rPr>
        <w:t>NUMERIC(14,2)</w:t>
      </w:r>
      <w:r>
        <w:t xml:space="preserve"> in the DB and serialized as a fixed-decimal string over the</w:t>
      </w:r>
    </w:p>
    <w:p>
      <w:r>
        <w:t xml:space="preserve">wire (no float). Timestamps are </w:t>
      </w:r>
      <w:r>
        <w:rPr>
          <w:rFonts w:ascii="Consolas" w:hAnsi="Consolas"/>
          <w:color w:val="8A3B2E"/>
          <w:sz w:val="19"/>
        </w:rPr>
        <w:t>timestamptz</w:t>
      </w:r>
      <w:r>
        <w:t xml:space="preserve"> (UTC); display in Asia/Dhaka.</w:t>
      </w:r>
    </w:p>
    <w:p>
      <w:pPr>
        <w:pStyle w:val="ListBullet"/>
      </w:pPr>
      <w:r>
        <w:rPr>
          <w:b/>
        </w:rPr>
        <w:t>UUID</w:t>
      </w:r>
      <w:r>
        <w:t xml:space="preserve"> ids everywhere (client-generatable for offline).</w:t>
      </w:r>
    </w:p>
    <w:p>
      <w:pPr>
        <w:pStyle w:val="ListBullet"/>
      </w:pPr>
      <w:r>
        <w:rPr>
          <w:b/>
        </w:rPr>
        <w:t>Idempotency-Key</w:t>
      </w:r>
      <w:r>
        <w:t xml:space="preserve"> on all financial POSTs; dedup on </w:t>
      </w:r>
      <w:r>
        <w:rPr>
          <w:rFonts w:ascii="Consolas" w:hAnsi="Consolas"/>
          <w:color w:val="8A3B2E"/>
          <w:sz w:val="19"/>
        </w:rPr>
        <w:t>(business_id, device_id, local_id)</w:t>
      </w:r>
      <w:r>
        <w:t>.</w:t>
      </w:r>
    </w:p>
    <w:p>
      <w:pPr>
        <w:pStyle w:val="ListBullet"/>
      </w:pPr>
      <w:r>
        <w:t xml:space="preserve">Financial writes are </w:t>
      </w:r>
      <w:r>
        <w:rPr>
          <w:b/>
        </w:rPr>
        <w:t>append-only</w:t>
      </w:r>
      <w:r>
        <w:t>; corrections are reversal/adjustment rows — never</w:t>
      </w:r>
    </w:p>
    <w:p>
      <w:r>
        <w:t>edits or deletes.</w:t>
      </w:r>
    </w:p>
    <w:p>
      <w:pPr>
        <w:pStyle w:val="Heading2"/>
      </w:pPr>
      <w:r>
        <w:t>5. Localization (§33)</w:t>
      </w:r>
    </w:p>
    <w:p>
      <w:pPr>
        <w:pStyle w:val="ListBullet"/>
      </w:pPr>
      <w:r>
        <w:t>No hard-coded user-facing strings; all text in Bangla resource files, English as optional</w:t>
      </w:r>
    </w:p>
    <w:p>
      <w:r>
        <w:t>secondary. Keys, not literals, in code.</w:t>
      </w:r>
    </w:p>
    <w:p>
      <w:pPr>
        <w:pStyle w:val="ListBullet"/>
      </w:pPr>
      <w:r>
        <w:t>Currency/number formatting centralized (৳, lakh grouping, optional Bengali numerals).</w:t>
      </w:r>
    </w:p>
    <w:p>
      <w:pPr>
        <w:pStyle w:val="Heading2"/>
      </w:pPr>
      <w:r>
        <w:t>6. Security standards (§22)</w:t>
      </w:r>
    </w:p>
    <w:p>
      <w:pPr>
        <w:pStyle w:val="ListBullet"/>
      </w:pPr>
      <w:r>
        <w:t>No secrets in source; config via env/secrets manager. No customer PII in logs/analytics.</w:t>
      </w:r>
    </w:p>
    <w:p>
      <w:pPr>
        <w:pStyle w:val="ListBullet"/>
      </w:pPr>
      <w:r>
        <w:t>Validate and sanitize all input at the API boundary; parameterized queries only.</w:t>
      </w:r>
    </w:p>
    <w:p>
      <w:pPr>
        <w:pStyle w:val="ListBullet"/>
      </w:pPr>
      <w:r>
        <w:t>Enforce RBAC in the backend regardless of UI gating; deny by default.</w:t>
      </w:r>
    </w:p>
    <w:p>
      <w:pPr>
        <w:pStyle w:val="Heading2"/>
      </w:pPr>
      <w:r>
        <w:t>7. Git &amp; review workflow</w:t>
      </w:r>
    </w:p>
    <w:p>
      <w:pPr>
        <w:pStyle w:val="ListBullet"/>
      </w:pPr>
      <w:r>
        <w:t>Trunk-based with short-lived branches; PRs required; at least one review.</w:t>
      </w:r>
    </w:p>
    <w:p>
      <w:pPr>
        <w:pStyle w:val="ListBullet"/>
      </w:pPr>
      <w:r>
        <w:t>Conventional commit messages; small, focused PRs; CI must be green to merge.</w:t>
      </w:r>
    </w:p>
    <w:p>
      <w:pPr>
        <w:pStyle w:val="ListBullet"/>
      </w:pPr>
      <w:r>
        <w:t>No direct pushes to protected branches; migrations reviewed with extra care.</w:t>
      </w:r>
    </w:p>
    <w:p>
      <w:pPr>
        <w:pStyle w:val="Heading2"/>
      </w:pPr>
      <w:r>
        <w:t>8. Testing expectations (§26)</w:t>
      </w:r>
    </w:p>
    <w:p>
      <w:pPr>
        <w:pStyle w:val="ListBullet"/>
      </w:pPr>
      <w:r>
        <w:t>Domain/business logic: high unit-test coverage (balances, allocation, aging, validators).</w:t>
      </w:r>
    </w:p>
    <w:p>
      <w:pPr>
        <w:pStyle w:val="ListBullet"/>
      </w:pPr>
      <w:r>
        <w:t>Every API endpoint has an integration test (happy path + auth/RBAC + validation + tenant</w:t>
      </w:r>
    </w:p>
    <w:p>
      <w:r>
        <w:t>isolation). New behavior ships with tests. See the QA/Test-Case Specification.</w:t>
      </w:r>
    </w:p>
    <w:p>
      <w:pPr>
        <w:pStyle w:val="Heading2"/>
      </w:pPr>
      <w:r>
        <w:t>9. Definition of done (per change)</w:t>
      </w:r>
    </w:p>
    <w:p>
      <w:pPr>
        <w:pStyle w:val="ListBullet"/>
      </w:pPr>
      <w:r>
        <w:t>[ ] Meets its spec section; user-facing strings localized.</w:t>
      </w:r>
    </w:p>
    <w:p>
      <w:pPr>
        <w:pStyle w:val="ListBullet"/>
      </w:pPr>
      <w:r>
        <w:t>[ ] Tests added/updated and green; analyzers clean.</w:t>
      </w:r>
    </w:p>
    <w:p>
      <w:pPr>
        <w:pStyle w:val="ListBullet"/>
      </w:pPr>
      <w:r>
        <w:t>[ ] Tenant isolation respected (no query returns cross-business data).</w:t>
      </w:r>
    </w:p>
    <w:p>
      <w:pPr>
        <w:pStyle w:val="ListBullet"/>
      </w:pPr>
      <w:r>
        <w:t>[ ] Financial invariants preserved (append-only; balance reconciles).</w:t>
      </w:r>
    </w:p>
    <w:p>
      <w:pPr>
        <w:pStyle w:val="ListBullet"/>
      </w:pPr>
      <w:r>
        <w:t>[ ] Docs/spec updated if behavior or schema changed.</w:t>
      </w:r>
    </w:p>
    <w:p>
      <w:pPr>
        <w:pStyle w:val="Heading2"/>
      </w:pPr>
      <w:r>
        <w:t>10. Dependency &amp; versioning policy</w:t>
      </w:r>
    </w:p>
    <w:p>
      <w:pPr>
        <w:pStyle w:val="ListBullet"/>
      </w:pPr>
      <w:r>
        <w:t>Pin versions; review and patch dependencies regularly (CI dependency audit).</w:t>
      </w:r>
    </w:p>
    <w:p>
      <w:pPr>
        <w:pStyle w:val="ListBullet"/>
      </w:pPr>
      <w:r>
        <w:t>Semantic versioning for the API (</w:t>
      </w:r>
      <w:r>
        <w:rPr>
          <w:rFonts w:ascii="Consolas" w:hAnsi="Consolas"/>
          <w:color w:val="8A3B2E"/>
          <w:sz w:val="19"/>
        </w:rPr>
        <w:t>/api/v2</w:t>
      </w:r>
      <w:r>
        <w:t xml:space="preserve"> for breaking changes; </w:t>
      </w:r>
      <w:r>
        <w:rPr>
          <w:rFonts w:ascii="Consolas" w:hAnsi="Consolas"/>
          <w:color w:val="8A3B2E"/>
          <w:sz w:val="19"/>
        </w:rPr>
        <w:t>v1</w:t>
      </w:r>
      <w:r>
        <w:t xml:space="preserve"> stays stable) and</w:t>
      </w:r>
    </w:p>
    <w:p>
      <w:r>
        <w:t>for the Android app (with the server-enforced minimum version, §41).</w:t>
      </w:r>
    </w:p>
    <w:p>
      <w:pPr>
        <w:pStyle w:val="Heading2"/>
      </w:pPr>
      <w:r>
        <w:t>11. Reference: the transactional write pattern (financial endpoints)</w:t>
      </w:r>
    </w:p>
    <w:p>
      <w:r>
        <w:t xml:space="preserve">Every financial write follows the </w:t>
      </w:r>
      <w:r>
        <w:rPr>
          <w:b/>
        </w:rPr>
        <w:t>same shape</w:t>
      </w:r>
      <w:r>
        <w:t xml:space="preserve">, in </w:t>
      </w:r>
      <w:r>
        <w:rPr>
          <w:b/>
        </w:rPr>
        <w:t>one database transaction</w:t>
      </w:r>
      <w:r>
        <w:t>: set the</w:t>
      </w:r>
    </w:p>
    <w:p>
      <w:r>
        <w:t>tenant context RLS reads → idempotency check → business-rule guard → append-only insert →</w:t>
      </w:r>
    </w:p>
    <w:p>
      <w:r>
        <w:rPr>
          <w:b/>
        </w:rPr>
        <w:t>`reallocate_customer` (FIFO allocation)</w:t>
      </w:r>
      <w:r>
        <w:t xml:space="preserve"> → audit → commit. This is the single place the</w:t>
      </w:r>
    </w:p>
    <w:p>
      <w:r>
        <w:t>allocation call lives (DB spec §13c; Offline Sync §5). Never allocate outside the write's</w:t>
      </w:r>
    </w:p>
    <w:p>
      <w:r>
        <w:t>transaction — aging must reconcile atomically with the insert.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// POST /api/v1/transactions — record a credit or payment, then re-run FIFO allocation.</w:t>
        <w:br/>
        <w:t>public async Task&lt;TransactionResult&gt; CreateAsync(CreateTransactionCommand cmd, CancellationToken ct)</w:t>
        <w:br/>
        <w:t>{</w:t>
        <w:br/>
        <w:t xml:space="preserve">    await using var conn = await _dataSource.OpenConnectionAsync(ct);</w:t>
        <w:br/>
        <w:t xml:space="preserve">    await using var tx   = await conn.BeginTransactionAsync(ct);</w:t>
        <w:br/>
        <w:br/>
        <w:t xml:space="preserve">    // 1) Tenant + user context that row-level security filters on (DB spec §14).</w:t>
        <w:br/>
        <w:t xml:space="preserve">    //    The app connects as a NON-OWNER role, so these GUCs are what RLS enforces.</w:t>
        <w:br/>
        <w:t xml:space="preserve">    await SetTenantContextAsync(conn, tx, _ctx.BusinessId, _ctx.UserId, ct);</w:t>
        <w:br/>
        <w:br/>
        <w:t xml:space="preserve">    // 2) Idempotency: same Idempotency-Key / (business, device, local_id) returns the</w:t>
        <w:br/>
        <w:t xml:space="preserve">    //    existing row — never a duplicate (API §14, DB unique constraint).</w:t>
        <w:br/>
        <w:t xml:space="preserve">    if (await _txns.FindByIdempotencyAsync(conn, tx, cmd.BusinessId, cmd.DeviceId, cmd.LocalId, ct)</w:t>
        <w:br/>
        <w:t xml:space="preserve">            is { } existing)</w:t>
        <w:br/>
        <w:t xml:space="preserve">        return TransactionResult.Replayed(existing);</w:t>
        <w:br/>
        <w:br/>
        <w:t xml:space="preserve">    // 3) Business-rule guard: block overpayment unless the business enabled it (§15).</w:t>
        <w:br/>
        <w:t xml:space="preserve">    if (cmd.Type == TxnType.Payment &amp;&amp; !_business.AllowOverpayment)</w:t>
        <w:br/>
        <w:t xml:space="preserve">        await EnsureNotExceedingBalanceAsync(conn, tx, cmd.CustomerId, cmd.Amount, ct); // -&gt; 409</w:t>
        <w:br/>
        <w:br/>
        <w:t xml:space="preserve">    // 4) Append-only insert. amount &gt; 0; direction comes from the type, never a sign (§15).</w:t>
        <w:br/>
        <w:t xml:space="preserve">    var txn = await _txns.InsertAsync(conn, tx, cmd.ToEntity(_ctx.UserId), ct);</w:t>
        <w:br/>
        <w:br/>
        <w:t xml:space="preserve">    // 5) *** FIFO allocation, in THIS transaction *** — idempotent + advisory-locked per</w:t>
        <w:br/>
        <w:t xml:space="preserve">    //     customer inside the function, so aging reconciles atomically with the write.</w:t>
        <w:br/>
        <w:t xml:space="preserve">    await conn.ExecuteAsync(new CommandDefinition(</w:t>
        <w:br/>
        <w:t xml:space="preserve">        "SELECT reallocate_customer(@BusinessId, @CustomerId);",</w:t>
        <w:br/>
        <w:t xml:space="preserve">        new { cmd.BusinessId, cmd.CustomerId }, tx, cancellationToken: ct));</w:t>
        <w:br/>
        <w:br/>
        <w:t xml:space="preserve">    // 6) Audit (§15/§22) then commit.</w:t>
        <w:br/>
        <w:t xml:space="preserve">    await _audit.RecordAsync(conn, tx, "create", "transaction", txn.Id, before: null, after: txn, ct);</w:t>
        <w:br/>
        <w:t xml:space="preserve">    await tx.CommitAsync(ct);</w:t>
        <w:br/>
        <w:t xml:space="preserve">    return TransactionResult.Created(txn);</w:t>
        <w:br/>
        <w:t>}</w:t>
        <w:br/>
        <w:br/>
        <w:t>// POST /api/v1/transactions/{id}/reverse — post the opposite-direction adjustment, then</w:t>
        <w:br/>
        <w:t>// reallocate. Because the function ignores reversed txns, a plain reallocate does the rest.</w:t>
        <w:br/>
        <w:t>public async Task&lt;TransactionResult&gt; ReverseAsync(Guid originalId, ReverseCommand cmd, CancellationToken ct)</w:t>
        <w:br/>
        <w:t>{</w:t>
        <w:br/>
        <w:t xml:space="preserve">    await using var conn = await _dataSource.OpenConnectionAsync(ct);</w:t>
        <w:br/>
        <w:t xml:space="preserve">    await using var tx   = await conn.BeginTransactionAsync(ct);</w:t>
        <w:br/>
        <w:t xml:space="preserve">    await SetTenantContextAsync(conn, tx, _ctx.BusinessId, _ctx.UserId, ct);</w:t>
        <w:br/>
        <w:br/>
        <w:t xml:space="preserve">    var original = await _txns.GetAsync(conn, tx, originalId, ct) ?? throw new NotFoundException();</w:t>
        <w:br/>
        <w:t xml:space="preserve">    var reversal = await _txns.InsertAsync(conn, tx, original.ToReversal(cmd.Reason, _ctx.UserId), ct);</w:t>
        <w:br/>
        <w:br/>
        <w:t xml:space="preserve">    await conn.ExecuteAsync(new CommandDefinition(</w:t>
        <w:br/>
        <w:t xml:space="preserve">        "SELECT reallocate_customer(@BusinessId, @CustomerId);",</w:t>
        <w:br/>
        <w:t xml:space="preserve">        new { original.BusinessId, original.CustomerId }, tx, cancellationToken: ct));</w:t>
        <w:br/>
        <w:br/>
        <w:t xml:space="preserve">    await _audit.RecordAsync(conn, tx, "reverse", "transaction", original.Id, before: original, after: reversal, ct);</w:t>
        <w:br/>
        <w:t xml:space="preserve">    await tx.CommitAsync(ct);</w:t>
        <w:br/>
        <w:t xml:space="preserve">    return TransactionResult.Created(reversal);</w:t>
        <w:br/>
        <w:t>}</w:t>
        <w:br/>
        <w:br/>
        <w:t>// Sets the PostgreSQL session GUCs RLS reads (DB spec §14). `is_local = true` scopes them</w:t>
        <w:br/>
        <w:t>// to this transaction. Do this on EVERY request before touching tenant tables.</w:t>
        <w:br/>
        <w:t>private static Task SetTenantContextAsync(DbConnection conn, DbTransaction tx,</w:t>
        <w:br/>
        <w:t xml:space="preserve">                                          Guid businessId, Guid userId, CancellationToken ct)</w:t>
        <w:br/>
        <w:t xml:space="preserve">    =&gt; conn.ExecuteAsync(new CommandDefinition(</w:t>
        <w:br/>
        <w:t xml:space="preserve">        "SELECT set_config('app.current_business_id', @b, true), " +</w:t>
        <w:br/>
        <w:t xml:space="preserve">        "       set_config('app.current_user_id',     @u, true);",</w:t>
        <w:br/>
        <w:t xml:space="preserve">        new { b = businessId.ToString(), u = userId.ToString() }, tx, cancellationToken: ct));</w:t>
      </w:r>
    </w:p>
    <w:p>
      <w:r>
        <w:rPr>
          <w:b/>
        </w:rPr>
        <w:t>Sync batch (`POST /sync/push`).</w:t>
      </w:r>
      <w:r>
        <w:t xml:space="preserve"> Process the batch in one transaction, insert all items,</w:t>
      </w:r>
    </w:p>
    <w:p>
      <w:r>
        <w:t xml:space="preserve">then call </w:t>
      </w:r>
      <w:r>
        <w:rPr>
          <w:rFonts w:ascii="Consolas" w:hAnsi="Consolas"/>
          <w:color w:val="8A3B2E"/>
          <w:sz w:val="19"/>
        </w:rPr>
        <w:t>reallocate_customer</w:t>
      </w:r>
      <w:r>
        <w:t xml:space="preserve"> </w:t>
      </w:r>
      <w:r>
        <w:rPr>
          <w:b/>
        </w:rPr>
        <w:t>once per distinct affected customer</w:t>
      </w:r>
      <w:r>
        <w:t xml:space="preserve"> (not once per row):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foreach (var customerId in affectedCustomerIds.Distinct())</w:t>
        <w:br/>
        <w:t xml:space="preserve">    await conn.ExecuteAsync(new CommandDefinition(</w:t>
        <w:br/>
        <w:t xml:space="preserve">        "SELECT reallocate_customer(@BusinessId, @CustomerId);",</w:t>
        <w:br/>
        <w:t xml:space="preserve">        new { businessId, CustomerId = customerId }, tx, cancellationToken: ct));</w:t>
      </w:r>
    </w:p>
    <w:p>
      <w:r>
        <w:rPr>
          <w:b/>
        </w:rPr>
        <w:t>Rules this pattern encodes:</w:t>
      </w:r>
    </w:p>
    <w:p>
      <w:pPr>
        <w:pStyle w:val="ListBullet"/>
      </w:pPr>
      <w:r>
        <w:t xml:space="preserve">Allocation is </w:t>
      </w:r>
      <w:r>
        <w:rPr>
          <w:b/>
        </w:rPr>
        <w:t>always</w:t>
      </w:r>
      <w:r>
        <w:t xml:space="preserve"> in the same transaction as the insert — never a fire-and-forget job.</w:t>
      </w:r>
    </w:p>
    <w:p>
      <w:pPr>
        <w:pStyle w:val="ListBullet"/>
      </w:pPr>
      <w:r>
        <w:t xml:space="preserve">The three trigger points are </w:t>
      </w:r>
      <w:r>
        <w:rPr>
          <w:b/>
        </w:rPr>
        <w:t>payment, credit, and reverse</w:t>
      </w:r>
      <w:r>
        <w:t xml:space="preserve"> (Offline Sync §5.3); a credit</w:t>
      </w:r>
    </w:p>
    <w:p>
      <w:r>
        <w:t>triggers it too, so a prior advance/overpayment is absorbed onto the new credit.</w:t>
      </w:r>
    </w:p>
    <w:p>
      <w:pPr>
        <w:pStyle w:val="ListBullet"/>
      </w:pPr>
      <w:r>
        <w:t>If EF Core (not Dapper) is the data layer, the equivalent is</w:t>
      </w:r>
    </w:p>
    <w:p>
      <w:r>
        <w:rPr>
          <w:rFonts w:ascii="Consolas" w:hAnsi="Consolas"/>
          <w:color w:val="8A3B2E"/>
          <w:sz w:val="19"/>
        </w:rPr>
        <w:t>dbContext.Database.ExecuteSqlInterpolatedAsync($"SELECT reallocate_customer({businessId}, {customerId})")</w:t>
      </w:r>
    </w:p>
    <w:p>
      <w:r>
        <w:t xml:space="preserve">on the same </w:t>
      </w:r>
      <w:r>
        <w:rPr>
          <w:rFonts w:ascii="Consolas" w:hAnsi="Consolas"/>
          <w:color w:val="8A3B2E"/>
          <w:sz w:val="19"/>
        </w:rPr>
        <w:t>DbContext</w:t>
      </w:r>
      <w:r>
        <w:t xml:space="preserve"> transaction.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