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BakiBondhu — Specification Index</w:t>
      </w:r>
    </w:p>
    <w:p>
      <w:r>
        <w:rPr>
          <w:b/>
        </w:rPr>
        <w:t>The complete specification set for the BakiBondhu platform</w:t>
      </w:r>
      <w:r>
        <w:t xml:space="preserve"> (Android field app + Web</w:t>
      </w:r>
    </w:p>
    <w:p>
      <w:r>
        <w:t>management app on one shared ASP.NET Core / PostgreSQL backend). This index is the entry</w:t>
      </w:r>
    </w:p>
    <w:p>
      <w:r>
        <w:t>point: it lists every document, its status, and how they fit together.</w:t>
      </w:r>
    </w:p>
    <w:p>
      <w:r>
        <w:t>_Last updated: 2026-09-07._</w:t>
      </w:r>
    </w:p>
    <w:p>
      <w:pPr>
        <w:pStyle w:val="Heading2"/>
      </w:pPr>
      <w:r>
        <w:t>1. The two applications</w:t>
      </w:r>
    </w:p>
    <w:p>
      <w:pPr>
        <w:pStyle w:val="ListBullet"/>
      </w:pPr>
      <w:r>
        <w:rPr>
          <w:b/>
        </w:rPr>
        <w:t>Android app</w:t>
      </w:r>
      <w:r>
        <w:t xml:space="preserve"> (Flutter/Dart, offline-first, Bangla-first) — the primary field</w:t>
      </w:r>
    </w:p>
    <w:p>
      <w:r>
        <w:t>application for merchants and field staff.</w:t>
      </w:r>
    </w:p>
    <w:p>
      <w:pPr>
        <w:pStyle w:val="ListBullet"/>
      </w:pPr>
      <w:r>
        <w:rPr>
          <w:b/>
        </w:rPr>
        <w:t>Web app</w:t>
      </w:r>
      <w:r>
        <w:t xml:space="preserve"> (React/TypeScript) — management, reporting, monitoring, administration.</w:t>
      </w:r>
    </w:p>
    <w:p>
      <w:pPr>
        <w:pStyle w:val="ListBullet"/>
      </w:pPr>
      <w:r>
        <w:t xml:space="preserve">Both use </w:t>
      </w:r>
      <w:r>
        <w:rPr>
          <w:b/>
        </w:rPr>
        <w:t>one shared backend/API and central PostgreSQL database</w:t>
      </w:r>
      <w:r>
        <w:t>; all business rules</w:t>
      </w:r>
    </w:p>
    <w:p>
      <w:r>
        <w:t>live in the backend (app-spec §29).</w:t>
      </w:r>
    </w:p>
    <w:p>
      <w:pPr>
        <w:pStyle w:val="Heading2"/>
      </w:pPr>
      <w:r>
        <w:t>2. Document set</w:t>
      </w:r>
    </w:p>
    <w:p>
      <w:r>
        <w:t xml:space="preserve">Every specification is provided in </w:t>
      </w:r>
      <w:r>
        <w:rPr>
          <w:b/>
        </w:rPr>
        <w:t>Word (`.docx`)</w:t>
      </w:r>
      <w:r>
        <w:t xml:space="preserve"> and </w:t>
      </w:r>
      <w:r>
        <w:rPr>
          <w:b/>
        </w:rPr>
        <w:t>Markdown (`.md`)</w:t>
      </w:r>
      <w:r>
        <w:t>; the database</w:t>
      </w:r>
    </w:p>
    <w:p>
      <w:r>
        <w:t xml:space="preserve">schema is also a runnable </w:t>
      </w:r>
      <w:r>
        <w:rPr>
          <w:b/>
        </w:rPr>
        <w:t>`.sql`</w:t>
      </w:r>
      <w:r>
        <w:t xml:space="preserve"> file.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Specification Index</w:t>
            </w:r>
            <w:r>
              <w:t xml:space="preserve"> (this document)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…_Specification_Index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Application Specification</w:t>
            </w:r>
            <w:r>
              <w:t xml:space="preserve"> (product &amp; technical, SRS)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…_Android_Web_Application_Specification_v1.1</w:t>
            </w:r>
          </w:p>
        </w:tc>
        <w:tc>
          <w:tcPr>
            <w:tcW w:type="dxa" w:w="2160"/>
          </w:tcPr>
          <w:p>
            <w:r/>
            <w:r>
              <w:t>✅ canonical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Database Specification</w:t>
            </w:r>
            <w:r>
              <w:t xml:space="preserve"> (+ runnable schema)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…_Database_Specification</w:t>
            </w:r>
            <w:r>
              <w:t xml:space="preserve"> · </w:t>
            </w:r>
            <w:r>
              <w:rPr>
                <w:rFonts w:ascii="Consolas" w:hAnsi="Consolas"/>
                <w:color w:val="8A3B2E"/>
                <w:sz w:val="19"/>
              </w:rPr>
              <w:t>…_PostgreSQL_Schema.sql</w:t>
            </w:r>
          </w:p>
        </w:tc>
        <w:tc>
          <w:tcPr>
            <w:tcW w:type="dxa" w:w="2160"/>
          </w:tcPr>
          <w:p>
            <w:r/>
            <w:r>
              <w:t>✅ (rev. 2026-09-07)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REST API 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…_REST_API_Specification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Android UI/UX 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…_Android_UIUX_Specification</w:t>
            </w:r>
          </w:p>
        </w:tc>
        <w:tc>
          <w:tcPr>
            <w:tcW w:type="dxa" w:w="2160"/>
          </w:tcPr>
          <w:p>
            <w:r/>
            <w:r>
              <w:t>✅ new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Web UI/UX 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…_Web_UIUX_Specification</w:t>
            </w:r>
          </w:p>
        </w:tc>
        <w:tc>
          <w:tcPr>
            <w:tcW w:type="dxa" w:w="2160"/>
          </w:tcPr>
          <w:p>
            <w:r/>
            <w:r>
              <w:t>✅ new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Offline Synchronization Technical Design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…_Offline_Sync_Technical_Design</w:t>
            </w:r>
          </w:p>
        </w:tc>
        <w:tc>
          <w:tcPr>
            <w:tcW w:type="dxa" w:w="2160"/>
          </w:tcPr>
          <w:p>
            <w:r/>
            <w:r>
              <w:t>✅ new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QA / Test-Case 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…_QA_Test_Specification</w:t>
            </w:r>
          </w:p>
        </w:tc>
        <w:tc>
          <w:tcPr>
            <w:tcW w:type="dxa" w:w="2160"/>
          </w:tcPr>
          <w:p>
            <w:r/>
            <w:r>
              <w:t>✅ new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Deployment &amp; DevOps 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…_Deployment_DevOps_Specification</w:t>
            </w:r>
          </w:p>
        </w:tc>
        <w:tc>
          <w:tcPr>
            <w:tcW w:type="dxa" w:w="2160"/>
          </w:tcPr>
          <w:p>
            <w:r/>
            <w:r>
              <w:t>✅ new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Development &amp; Coding Standards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…_Development_Coding_Standards</w:t>
            </w:r>
          </w:p>
        </w:tc>
        <w:tc>
          <w:tcPr>
            <w:tcW w:type="dxa" w:w="2160"/>
          </w:tcPr>
          <w:p>
            <w:r/>
            <w:r>
              <w:t>✅ new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Specification Review</w:t>
            </w:r>
            <w:r>
              <w:t xml:space="preserve"> (findings + schema fixes)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spec-review.md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</w:tbl>
    <w:p/>
    <w:p>
      <w:r>
        <w:t>Security is specified inline in the Application Specification (§22) and reinforced in the</w:t>
      </w:r>
    </w:p>
    <w:p>
      <w:r>
        <w:t>Database (RLS), API (auth/RBAC), and DevOps specs, rather than as a separate document.</w:t>
      </w:r>
    </w:p>
    <w:p>
      <w:pPr>
        <w:pStyle w:val="Heading2"/>
      </w:pPr>
      <w:r>
        <w:t>3. Reading order</w:t>
      </w:r>
    </w:p>
    <w:p>
      <w:pPr>
        <w:pStyle w:val="ListNumber"/>
      </w:pPr>
      <w:r>
        <w:rPr>
          <w:b/>
        </w:rPr>
        <w:t>Application Specification</w:t>
      </w:r>
      <w:r>
        <w:t xml:space="preserve"> — the what and why (start here).</w:t>
      </w:r>
    </w:p>
    <w:p>
      <w:pPr>
        <w:pStyle w:val="ListNumber"/>
      </w:pPr>
      <w:r>
        <w:rPr>
          <w:b/>
        </w:rPr>
        <w:t>Database Specification</w:t>
      </w:r>
      <w:r>
        <w:t xml:space="preserve"> — the data model and integrity rules.</w:t>
      </w:r>
    </w:p>
    <w:p>
      <w:pPr>
        <w:pStyle w:val="ListNumber"/>
      </w:pPr>
      <w:r>
        <w:rPr>
          <w:b/>
        </w:rPr>
        <w:t>REST API Specification</w:t>
      </w:r>
      <w:r>
        <w:t xml:space="preserve"> — the contract between apps and backend.</w:t>
      </w:r>
    </w:p>
    <w:p>
      <w:pPr>
        <w:pStyle w:val="ListNumber"/>
      </w:pPr>
      <w:r>
        <w:rPr>
          <w:b/>
        </w:rPr>
        <w:t>Android UI/UX</w:t>
      </w:r>
      <w:r>
        <w:t xml:space="preserve"> and </w:t>
      </w:r>
      <w:r>
        <w:rPr>
          <w:b/>
        </w:rPr>
        <w:t>Web UI/UX</w:t>
      </w:r>
      <w:r>
        <w:t xml:space="preserve"> — screen-by-screen behavior.</w:t>
      </w:r>
    </w:p>
    <w:p>
      <w:pPr>
        <w:pStyle w:val="ListNumber"/>
      </w:pPr>
      <w:r>
        <w:rPr>
          <w:b/>
        </w:rPr>
        <w:t>Offline Sync Technical Design</w:t>
      </w:r>
      <w:r>
        <w:t xml:space="preserve"> — how the field app stays correct offline.</w:t>
      </w:r>
    </w:p>
    <w:p>
      <w:pPr>
        <w:pStyle w:val="ListNumber"/>
      </w:pPr>
      <w:r>
        <w:rPr>
          <w:b/>
        </w:rPr>
        <w:t>QA / Test-Case</w:t>
      </w:r>
      <w:r>
        <w:t xml:space="preserve">, </w:t>
      </w:r>
      <w:r>
        <w:rPr>
          <w:b/>
        </w:rPr>
        <w:t>Deployment &amp; DevOps</w:t>
      </w:r>
      <w:r>
        <w:t xml:space="preserve">, </w:t>
      </w:r>
      <w:r>
        <w:rPr>
          <w:b/>
        </w:rPr>
        <w:t>Coding Standards</w:t>
      </w:r>
      <w:r>
        <w:t xml:space="preserve"> — build, verify, ship.</w:t>
      </w:r>
    </w:p>
    <w:p>
      <w:pPr>
        <w:pStyle w:val="Heading2"/>
      </w:pPr>
      <w:r>
        <w:t>4. Cross-cutting invariants (true across all documents)</w:t>
      </w:r>
    </w:p>
    <w:p>
      <w:pPr>
        <w:pStyle w:val="ListBullet"/>
      </w:pPr>
      <w:r>
        <w:rPr>
          <w:b/>
        </w:rPr>
        <w:t>Multi-tenant:</w:t>
      </w:r>
      <w:r>
        <w:t xml:space="preserve"> every business row is isolated by </w:t>
      </w:r>
      <w:r>
        <w:rPr>
          <w:rFonts w:ascii="Consolas" w:hAnsi="Consolas"/>
          <w:color w:val="8A3B2E"/>
          <w:sz w:val="19"/>
        </w:rPr>
        <w:t>business_id</w:t>
      </w:r>
      <w:r>
        <w:t>; no endpoint returns</w:t>
      </w:r>
    </w:p>
    <w:p>
      <w:r>
        <w:t>another business's data (§5). Enforced by API + PostgreSQL row-level security.</w:t>
      </w:r>
    </w:p>
    <w:p>
      <w:pPr>
        <w:pStyle w:val="ListBullet"/>
      </w:pPr>
      <w:r>
        <w:rPr>
          <w:b/>
        </w:rPr>
        <w:t>Append-only ledger:</w:t>
      </w:r>
      <w:r>
        <w:t xml:space="preserve"> financial transactions are never edited/deleted; corrections are</w:t>
      </w:r>
    </w:p>
    <w:p>
      <w:r>
        <w:t>reversal/adjustment rows with an audit trail (§15).</w:t>
      </w:r>
    </w:p>
    <w:p>
      <w:pPr>
        <w:pStyle w:val="ListBullet"/>
      </w:pPr>
      <w:r>
        <w:rPr>
          <w:b/>
        </w:rPr>
        <w:t>Balances are computed</w:t>
      </w:r>
      <w:r>
        <w:t xml:space="preserve">, never stored: </w:t>
      </w:r>
      <w:r>
        <w:rPr>
          <w:rFonts w:ascii="Consolas" w:hAnsi="Consolas"/>
          <w:color w:val="8A3B2E"/>
          <w:sz w:val="19"/>
        </w:rPr>
        <w:t>balance = Σ(amount × balance_sign)</w:t>
      </w:r>
      <w:r>
        <w:t xml:space="preserve"> (§15). Aging</w:t>
      </w:r>
    </w:p>
    <w:p>
      <w:r>
        <w:t>ages the *unpaid* portion of each credit via FIFO payment allocation (review fix).</w:t>
      </w:r>
    </w:p>
    <w:p>
      <w:pPr>
        <w:pStyle w:val="ListBullet"/>
      </w:pPr>
      <w:r>
        <w:rPr>
          <w:b/>
        </w:rPr>
        <w:t>Offline-first Android:</w:t>
      </w:r>
      <w:r>
        <w:t xml:space="preserve"> the core loop works with no network; the server is authoritative;</w:t>
      </w:r>
    </w:p>
    <w:p>
      <w:r>
        <w:t xml:space="preserve">sync is idempotent on </w:t>
      </w:r>
      <w:r>
        <w:rPr>
          <w:rFonts w:ascii="Consolas" w:hAnsi="Consolas"/>
          <w:color w:val="8A3B2E"/>
          <w:sz w:val="19"/>
        </w:rPr>
        <w:t>(business_id, device_id, local_id)</w:t>
      </w:r>
      <w:r>
        <w:t xml:space="preserve"> (§16–17).</w:t>
      </w:r>
    </w:p>
    <w:p>
      <w:pPr>
        <w:pStyle w:val="ListBullet"/>
      </w:pPr>
      <w:r>
        <w:rPr>
          <w:b/>
        </w:rPr>
        <w:t>Bangla-first, ৳ only, Asia/Dhaka</w:t>
      </w:r>
      <w:r>
        <w:t xml:space="preserve"> display; UUID ids; money </w:t>
      </w:r>
      <w:r>
        <w:rPr>
          <w:rFonts w:ascii="Consolas" w:hAnsi="Consolas"/>
          <w:color w:val="8A3B2E"/>
          <w:sz w:val="19"/>
        </w:rPr>
        <w:t>NUMERIC(14,2)</w:t>
      </w:r>
      <w:r>
        <w:t>; timestamps</w:t>
      </w:r>
    </w:p>
    <w:p>
      <w:r>
        <w:rPr>
          <w:rFonts w:ascii="Consolas" w:hAnsi="Consolas"/>
          <w:color w:val="8A3B2E"/>
          <w:sz w:val="19"/>
        </w:rPr>
        <w:t>timestamptz</w:t>
      </w:r>
      <w:r>
        <w:t xml:space="preserve"> (§33, §15).</w:t>
      </w:r>
    </w:p>
    <w:p>
      <w:pPr>
        <w:pStyle w:val="Heading2"/>
      </w:pPr>
      <w:r>
        <w:t>5. Scope &amp; phasing</w:t>
      </w:r>
    </w:p>
    <w:p>
      <w:r>
        <w:t xml:space="preserve">The Application Specification is the long-term platform blueprint. Per app-spec </w:t>
      </w:r>
      <w:r>
        <w:rPr>
          <w:b/>
        </w:rPr>
        <w:t>§42</w:t>
      </w:r>
      <w:r>
        <w:t>, the</w:t>
      </w:r>
    </w:p>
    <w:p>
      <w:r>
        <w:t>recommended build path is **validate first, then ship an Android-only, offline, local-first</w:t>
      </w:r>
    </w:p>
    <w:p>
      <w:r>
        <w:t>MVP around the core loop**, and add the backend/web/roles once daily-use retention is proven.</w:t>
      </w:r>
    </w:p>
    <w:p>
      <w:r>
        <w:rPr>
          <w:b/>
        </w:rPr>
        <w:t>Phase-1 MVP reference (kept intentionally):</w:t>
      </w:r>
      <w:r>
        <w:t xml:space="preserve"> the earlier, narrower local-first MVP is</w:t>
      </w:r>
    </w:p>
    <w:p>
      <w:r>
        <w:t>documented in [</w:t>
      </w:r>
      <w:r>
        <w:rPr>
          <w:rFonts w:ascii="Consolas" w:hAnsi="Consolas"/>
          <w:color w:val="8A3B2E"/>
          <w:sz w:val="19"/>
        </w:rPr>
        <w:t>phase1-mvp/</w:t>
      </w:r>
      <w:r>
        <w:t xml:space="preserve">](phase1-mvp/README.md) and rendered as </w:t>
      </w:r>
      <w:r>
        <w:rPr>
          <w:rFonts w:ascii="Consolas" w:hAnsi="Consolas"/>
          <w:color w:val="8A3B2E"/>
          <w:sz w:val="19"/>
        </w:rPr>
        <w:t>BakiBondhu_MVP_Spec.pdf</w:t>
      </w:r>
      <w:r>
        <w:t>. It is the</w:t>
      </w:r>
    </w:p>
    <w:p>
      <w:r>
        <w:t>Phase-1 detail of §42 — a subset of this platform, not a competing spec.</w:t>
      </w:r>
    </w:p>
    <w:p>
      <w:r>
        <w:rPr>
          <w:b/>
        </w:rPr>
        <w:t>Strategy &amp; validation assets (not specifications):</w:t>
      </w:r>
      <w:r>
        <w:t xml:space="preserve"> </w:t>
      </w:r>
      <w:r>
        <w:rPr>
          <w:rFonts w:ascii="Consolas" w:hAnsi="Consolas"/>
          <w:color w:val="8A3B2E"/>
          <w:sz w:val="19"/>
        </w:rPr>
        <w:t>BakiBondhu_Founders_Kit.pdf</w:t>
      </w:r>
      <w:r>
        <w:t>,</w:t>
      </w:r>
    </w:p>
    <w:p>
      <w:r>
        <w:rPr>
          <w:rFonts w:ascii="Consolas" w:hAnsi="Consolas"/>
          <w:color w:val="8A3B2E"/>
          <w:sz w:val="19"/>
        </w:rPr>
        <w:t>BakiBondhu_Interview_Script.pdf</w:t>
      </w:r>
      <w:r>
        <w:t xml:space="preserve">, </w:t>
      </w:r>
      <w:r>
        <w:rPr>
          <w:rFonts w:ascii="Consolas" w:hAnsi="Consolas"/>
          <w:color w:val="8A3B2E"/>
          <w:sz w:val="19"/>
        </w:rPr>
        <w:t>BakiBondhu_Phase0_Merchant_Tracker.xlsx</w:t>
      </w:r>
      <w:r>
        <w:t>, and</w:t>
      </w:r>
    </w:p>
    <w:p>
      <w:r>
        <w:rPr>
          <w:rFonts w:ascii="Consolas" w:hAnsi="Consolas"/>
          <w:color w:val="8A3B2E"/>
          <w:sz w:val="19"/>
        </w:rPr>
        <w:t>BakiBondhu_Year1_Financials.xlsx</w:t>
      </w:r>
      <w:r>
        <w:t xml:space="preserve"> support Phase-0 validation and fundraising.</w:t>
      </w:r>
    </w:p>
    <w:p>
      <w:pPr>
        <w:pStyle w:val="Heading2"/>
      </w:pPr>
      <w:r>
        <w:t>6. Open items carried from the review</w:t>
      </w:r>
    </w:p>
    <w:p>
      <w:r>
        <w:t xml:space="preserve">Tracked in </w:t>
      </w:r>
      <w:r>
        <w:rPr>
          <w:rFonts w:ascii="Consolas" w:hAnsi="Consolas"/>
          <w:color w:val="8A3B2E"/>
          <w:sz w:val="19"/>
        </w:rPr>
        <w:t>spec-review.md</w:t>
      </w:r>
      <w:r>
        <w:t>:</w:t>
      </w:r>
    </w:p>
    <w:p>
      <w:pPr>
        <w:pStyle w:val="ListBullet"/>
      </w:pPr>
      <w:r>
        <w:t xml:space="preserve">✅ </w:t>
      </w:r>
      <w:r>
        <w:rPr>
          <w:b/>
        </w:rPr>
        <w:t>FIFO payment allocation</w:t>
      </w:r>
      <w:r>
        <w:t xml:space="preserve"> — specified: </w:t>
      </w:r>
      <w:r>
        <w:rPr>
          <w:rFonts w:ascii="Consolas" w:hAnsi="Consolas"/>
          <w:color w:val="8A3B2E"/>
          <w:sz w:val="19"/>
        </w:rPr>
        <w:t>reallocate_customer()</w:t>
      </w:r>
      <w:r>
        <w:t xml:space="preserve"> in the schema (DB spec</w:t>
      </w:r>
    </w:p>
    <w:p>
      <w:r>
        <w:t>§13c), the full logic in Offline Sync Technical Design §5, and the aging view made</w:t>
      </w:r>
    </w:p>
    <w:p>
      <w:r>
        <w:t>reversal-consistent. Remaining work is to wire the call into the API's transaction endpoints.</w:t>
      </w:r>
    </w:p>
    <w:p>
      <w:pPr>
        <w:pStyle w:val="ListBullet"/>
      </w:pPr>
      <w:r>
        <w:t xml:space="preserve">✅ </w:t>
      </w:r>
      <w:r>
        <w:rPr>
          <w:b/>
        </w:rPr>
        <w:t>DB-spec `.docx`</w:t>
      </w:r>
      <w:r>
        <w:t xml:space="preserve"> regenerated from the corrected </w:t>
      </w:r>
      <w:r>
        <w:rPr>
          <w:rFonts w:ascii="Consolas" w:hAnsi="Consolas"/>
          <w:color w:val="8A3B2E"/>
          <w:sz w:val="19"/>
        </w:rPr>
        <w:t>.sql</w:t>
      </w:r>
      <w:r>
        <w:t>.</w:t>
      </w:r>
    </w:p>
    <w:p>
      <w:pPr>
        <w:pStyle w:val="ListBullet"/>
      </w:pPr>
      <w:r>
        <w:t xml:space="preserve">Rename the aging response's </w:t>
      </w:r>
      <w:r>
        <w:rPr>
          <w:rFonts w:ascii="Consolas" w:hAnsi="Consolas"/>
          <w:color w:val="8A3B2E"/>
          <w:sz w:val="19"/>
        </w:rPr>
        <w:t>total_outstanding</w:t>
      </w:r>
      <w:r>
        <w:t xml:space="preserve"> → </w:t>
      </w:r>
      <w:r>
        <w:rPr>
          <w:rFonts w:ascii="Consolas" w:hAnsi="Consolas"/>
          <w:color w:val="8A3B2E"/>
          <w:sz w:val="19"/>
        </w:rPr>
        <w:t>total_overdue</w:t>
      </w:r>
      <w:r>
        <w:t>; serialize money as</w:t>
      </w:r>
    </w:p>
    <w:p>
      <w:r>
        <w:t>strings; guard concurrent overpayment (the schema's advisory lock covers the DB side).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