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TAB Wellness Collective — Master Decision, Risk &amp; Architecture Record</w:t>
      </w:r>
    </w:p>
    <w:p>
      <w:pPr/>
      <w:r>
        <w:t xml:space="preserve">Sep 27, 2026</w:t>
      </w:r>
      <w:r>
        <w:t xml:space="preserve"> · </w:t>
      </w:r>
      <w:r>
        <w:t xml:space="preserve">@Matthew Ronan</w:t>
      </w:r>
    </w:p>
    <w:p>
      <w:pPr>
        <w:pStyle w:val="Heading2"/>
      </w:pPr>
      <w:r>
        <w:t xml:space="preserve">How to use this record</w:t>
      </w:r>
    </w:p>
    <w:p>
      <w:pPr/>
      <w:r>
        <w:t xml:space="preserve">This is the consolidated record of every decision, risk, architecture decision, and open question for the TAB Wellness Collective program, as of September 27, 2026. It merges the </w:t>
      </w:r>
      <w:hyperlink r:id="rId3" w:history="1">
        <w:r>
          <w:rPr>
            <w:rStyle w:val="Hyperlink"/>
          </w:rPr>
          <w:t xml:space="preserve">TAB Decision and Risk Register</w:t>
        </w:r>
      </w:hyperlink>
      <w:r>
        <w:t xml:space="preserve"> (rev 95), the Steps 13 to 19 review, and the build handoff (</w:t>
      </w:r>
      <w:r>
        <w:rPr>
          <w:rStyle w:val="CodeChar"/>
        </w:rPr>
        <w:t xml:space="preserve">docs/ARCHITECTURE.md</w:t>
      </w:r>
      <w:r>
        <w:t xml:space="preserve">, </w:t>
      </w:r>
      <w:r>
        <w:rPr>
          <w:rStyle w:val="CodeChar"/>
        </w:rPr>
        <w:t xml:space="preserve">docs/HANDOFF.md</w:t>
      </w:r>
      <w:r>
        <w:t xml:space="preserve">).</w:t>
      </w:r>
    </w:p>
    <w:p>
      <w:pPr/>
      <w:r>
        <w:t xml:space="preserve">The register remains the system of record for decisions. This document is the complete read-through; where the two differ, the register governs until a new entry is made. Items marked </w:t>
      </w:r>
      <w:r>
        <w:rPr>
          <w:i/>
        </w:rPr>
        <w:t xml:space="preserve">pending register entry</w:t>
      </w:r>
      <w:r>
        <w:t xml:space="preserve"> came out of the build sessions and still need to be logged there.</w:t>
      </w:r>
    </w:p>
    <w:p>
      <w:pPr/>
      <w:r>
        <w:rPr>
          <w:b/>
        </w:rPr>
        <w:t xml:space="preserve">Decision statuses:</w:t>
      </w:r>
      <w:r>
        <w:t xml:space="preserve"> Proposed (on the backlog) → Baselined (working assumption; formal review pending) → Accepted (made) → Superseded (replaced by a later decision, which links back). Rejected options are recorded inside the ADR, not as separate entries.</w:t>
      </w:r>
    </w:p>
    <w:p>
      <w:pPr/>
      <w:r>
        <w:rPr>
          <w:b/>
        </w:rPr>
        <w:t xml:space="preserve">Risk statuses:</w:t>
      </w:r>
      <w:r>
        <w:t xml:space="preserve"> Open → Mitigating → Closed.</w:t>
      </w:r>
    </w:p>
    <w:p>
      <w:pPr/>
      <w:r>
        <w:rPr>
          <w:b/>
        </w:rPr>
        <w:t xml:space="preserve">Governance rules (from the register):</w:t>
      </w:r>
    </w:p>
    <w:p>
      <w:pPr>
        <w:pStyle w:val="ListParagraph"/>
        <w:numPr>
          <w:ilvl w:val="0"/>
          <w:numId w:val="2"/>
        </w:numPr>
      </w:pPr>
      <w:r>
        <w:t xml:space="preserve">IDs are assigned in order and never reused: </w:t>
      </w:r>
      <w:r>
        <w:rPr>
          <w:rStyle w:val="CodeChar"/>
        </w:rPr>
        <w:t xml:space="preserve">D-###</w:t>
      </w:r>
      <w:r>
        <w:t xml:space="preserve"> decisions, </w:t>
      </w:r>
      <w:r>
        <w:rPr>
          <w:rStyle w:val="CodeChar"/>
        </w:rPr>
        <w:t xml:space="preserve">R-###</w:t>
      </w:r>
      <w:r>
        <w:t xml:space="preserve"> risks, </w:t>
      </w:r>
      <w:r>
        <w:rPr>
          <w:rStyle w:val="CodeChar"/>
        </w:rPr>
        <w:t xml:space="preserve">X-##</w:t>
      </w:r>
      <w:r>
        <w:t xml:space="preserve"> discrepancies, </w:t>
      </w:r>
      <w:r>
        <w:rPr>
          <w:rStyle w:val="CodeChar"/>
        </w:rPr>
        <w:t xml:space="preserve">A-##</w:t>
      </w:r>
      <w:r>
        <w:t xml:space="preserve"> open architecture questions.</w:t>
      </w:r>
    </w:p>
    <w:p>
      <w:pPr>
        <w:pStyle w:val="ListParagraph"/>
        <w:numPr>
          <w:ilvl w:val="0"/>
          <w:numId w:val="2"/>
        </w:numPr>
      </w:pPr>
      <w:r>
        <w:t xml:space="preserve">Log any choice that is costly to reverse, affects more than one workstream, or spends recurring money.</w:t>
      </w:r>
    </w:p>
    <w:p>
      <w:pPr>
        <w:pStyle w:val="ListParagraph"/>
        <w:numPr>
          <w:ilvl w:val="0"/>
          <w:numId w:val="2"/>
        </w:numPr>
      </w:pPr>
      <w:r>
        <w:t xml:space="preserve">An accepted decision is never edited; a new decision supersedes it.</w:t>
      </w:r>
    </w:p>
    <w:p>
      <w:pPr>
        <w:pStyle w:val="ListParagraph"/>
        <w:numPr>
          <w:ilvl w:val="0"/>
          <w:numId w:val="2"/>
        </w:numPr>
      </w:pPr>
      <w:r>
        <w:t xml:space="preserve">Each working session ends by updating the register. A workstream closes only when its backlog decisions are Accepted.</w:t>
      </w:r>
    </w:p>
    <w:p>
      <w:pPr>
        <w:pStyle w:val="ListParagraph"/>
        <w:numPr>
          <w:ilvl w:val="0"/>
          <w:numId w:val="2"/>
        </w:numPr>
      </w:pPr>
      <w:r>
        <w:t xml:space="preserve">Per D-041, the Playbook (Steps 13 to 19) holds reference content and the register holds decisions. The September 25 Architecture Plan is retired.</w:t>
      </w:r>
    </w:p>
    <w:p>
      <w:pPr>
        <w:pStyle w:val="Heading2"/>
      </w:pPr>
      <w:r>
        <w:t xml:space="preserve">At a glance</w:t>
      </w:r>
    </w:p>
    <w:p>
      <w:pPr/>
      <w:r>
        <w:t xml:space="preserve">Fifty-five decisions and twenty-eight risks are on record; one owner decision (HIPAA spend timing) is blocking Phase 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Count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Detail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accepted</w:t>
            </w:r>
          </w:p>
        </w:tc>
        <w:tc>
          <w:tcPr>
            <w:tcW w:w="3120" w:type="dxa"/>
          </w:tcPr>
          <w:p>
            <w:pPr/>
            <w:r>
              <w:t xml:space="preserve">40</w:t>
            </w:r>
          </w:p>
        </w:tc>
        <w:tc>
          <w:tcPr>
            <w:tcW w:w="3120" w:type="dxa"/>
          </w:tcPr>
          <w:p>
            <w:pPr/>
            <w:r>
              <w:t xml:space="preserve">Register D-001 to D-052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baselined</w:t>
            </w:r>
          </w:p>
        </w:tc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D-010, D-011, D-013, D-014, D-015 (formal review pending)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proposed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D-017 coaching agent data boundary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superseded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D-002, D-008, D-009, D-012, D-016, D-026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Decisions pending register entry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D-053 to D-055, from the build sessions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Risks open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Of 25 in the register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Risks mitigating</w:t>
            </w:r>
          </w:p>
        </w:tc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R-002, R-003, R-011, R-021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Risks closed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R-015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Risks pending register entry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R-026 to R-028, from the build sessions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Discrepancies (X-01 to X-13)</w:t>
            </w:r>
          </w:p>
        </w:tc>
        <w:tc>
          <w:tcPr>
            <w:tcW w:w="3120" w:type="dxa"/>
          </w:tcPr>
          <w:p>
            <w:pPr/>
            <w:r>
              <w:t xml:space="preserve">13 resolved</w:t>
            </w:r>
          </w:p>
        </w:tc>
        <w:tc>
          <w:tcPr>
            <w:tcW w:w="3120" w:type="dxa"/>
          </w:tcPr>
          <w:p>
            <w:pPr/>
            <w:r>
              <w:t xml:space="preserve">All converted to decisions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 architecture questions</w:t>
            </w:r>
          </w:p>
        </w:tc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A-01 to A-06</w:t>
            </w:r>
          </w:p>
        </w:tc>
      </w:tr>
    </w:tbl>
    <w:p>
      <w:pPr/>
      <w:r>
        <w:rPr>
          <w:b/>
        </w:rPr>
        <w:t xml:space="preserve">Correction to the last session:</w:t>
      </w:r>
      <w:r>
        <w:t xml:space="preserve"> I said Resend had no covering decision. That was wrong. D-005 lists Resend in the core stack, so no D-055 is needed for it. The D-055 below covers a different item.</w:t>
      </w:r>
    </w:p>
    <w:p>
      <w:pPr/>
      <w:r>
        <w:rPr>
          <w:b/>
        </w:rPr>
        <w:t xml:space="preserve">Waiting on owner input:</w:t>
      </w:r>
      <w:r>
        <w:t xml:space="preserve"> A-01 (gate HIPAA-tier spend on legal review) and A-03 (keep or drop Cloudflare and Bunny Stream, which amends D-005).</w:t>
      </w:r>
    </w:p>
    <w:p>
      <w:pPr>
        <w:pStyle w:val="Heading2"/>
      </w:pPr>
      <w:r>
        <w:t xml:space="preserve">Decision register</w:t>
      </w:r>
    </w:p>
    <w:p>
      <w:pPr/>
      <w:r>
        <w:t xml:space="preserve">All 55 decisions in ID order; superseded entries stay in place and point to their replacement.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Workstream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Decided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D-001</w:t>
            </w:r>
          </w:p>
        </w:tc>
        <w:tc>
          <w:tcPr>
            <w:tcW w:w="1872" w:type="dxa"/>
          </w:tcPr>
          <w:p>
            <w:pPr/>
            <w:r>
              <w:t xml:space="preserve">Own the experience, rent operations: thin custom portal, Timely kept for operations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D-002</w:t>
            </w:r>
          </w:p>
        </w:tc>
        <w:tc>
          <w:tcPr>
            <w:tcW w:w="1872" w:type="dxa"/>
          </w:tcPr>
          <w:p>
            <w:pPr/>
            <w:r>
              <w:t xml:space="preserve">No health data in owned systems. Superseded by D-042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D-003</w:t>
            </w:r>
          </w:p>
        </w:tc>
        <w:tc>
          <w:tcPr>
            <w:tcW w:w="1872" w:type="dxa"/>
          </w:tcPr>
          <w:p>
            <w:pPr/>
            <w:r>
              <w:t xml:space="preserve">Integrate Timely by embed and link; no data sync at launch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D-004</w:t>
            </w:r>
          </w:p>
        </w:tc>
        <w:tc>
          <w:tcPr>
            <w:tcW w:w="1872" w:type="dxa"/>
          </w:tcPr>
          <w:p>
            <w:pPr/>
            <w:r>
              <w:t xml:space="preserve">Stripe for digital products, programs, and subscriptions (ownership per D-052)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D-005</w:t>
            </w:r>
          </w:p>
        </w:tc>
        <w:tc>
          <w:tcPr>
            <w:tcW w:w="1872" w:type="dxa"/>
          </w:tcPr>
          <w:p>
            <w:pPr/>
            <w:r>
              <w:t xml:space="preserve">Core stack: Next.js, TypeScript, Tailwind, Supabase, Vercel, Cloudflare, Bunny Stream, Resend, GitHub (Cloudflare and Bunny Stream under review, A-03)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D-006</w:t>
            </w:r>
          </w:p>
        </w:tc>
        <w:tc>
          <w:tcPr>
            <w:tcW w:w="1872" w:type="dxa"/>
          </w:tcPr>
          <w:p>
            <w:pPr/>
            <w:r>
              <w:t xml:space="preserve">Paid hosting tiers from launch (tiers and cost revised by D-042)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D-007</w:t>
            </w:r>
          </w:p>
        </w:tc>
        <w:tc>
          <w:tcPr>
            <w:tcW w:w="1872" w:type="dxa"/>
          </w:tcPr>
          <w:p>
            <w:pPr/>
            <w:r>
              <w:t xml:space="preserve">Defer secure messaging, custom scheduling, and native app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D-008</w:t>
            </w:r>
          </w:p>
        </w:tc>
        <w:tc>
          <w:tcPr>
            <w:tcW w:w="1872" w:type="dxa"/>
          </w:tcPr>
          <w:p>
            <w:pPr/>
            <w:r>
              <w:t xml:space="preserve">Growth focus is scaling virtual coaching and wellness. Superseded by D-043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D-009</w:t>
            </w:r>
          </w:p>
        </w:tc>
        <w:tc>
          <w:tcPr>
            <w:tcW w:w="1872" w:type="dxa"/>
          </w:tcPr>
          <w:p>
            <w:pPr/>
            <w:r>
              <w:t xml:space="preserve">Segments: midlife women and general adults launch together. Superseded by D-049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D-010</w:t>
            </w:r>
          </w:p>
        </w:tc>
        <w:tc>
          <w:tcPr>
            <w:tcW w:w="1872" w:type="dxa"/>
          </w:tcPr>
          <w:p>
            <w:pPr/>
            <w:r>
              <w:t xml:space="preserve">Offer ladder: free, digital programs, membership, capped 1:1; launch with free, 1:1, and a pilot cohort. Programs redefined within the pillars per D-044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Baselined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D-011</w:t>
            </w:r>
          </w:p>
        </w:tc>
        <w:tc>
          <w:tcPr>
            <w:tcW w:w="1872" w:type="dxa"/>
          </w:tcPr>
          <w:p>
            <w:pPr/>
            <w:r>
              <w:t xml:space="preserve">Pricing: tier price points, bundles, and three-part year-one success measure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Baselined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D-012</w:t>
            </w:r>
          </w:p>
        </w:tc>
        <w:tc>
          <w:tcPr>
            <w:tcW w:w="1872" w:type="dxa"/>
          </w:tcPr>
          <w:p>
            <w:pPr/>
            <w:r>
              <w:t xml:space="preserve">Brand architecture: branded house, named signature programs, practitioner as the face. Superseded by D-021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D-013</w:t>
            </w:r>
          </w:p>
        </w:tc>
        <w:tc>
          <w:tcPr>
            <w:tcW w:w="1872" w:type="dxa"/>
          </w:tcPr>
          <w:p>
            <w:pPr/>
            <w:r>
              <w:t xml:space="preserve">Bridge: five-part massage-to-coaching path plus hybrid local bundle concept, governed by D-051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Baselined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D-014</w:t>
            </w:r>
          </w:p>
        </w:tc>
        <w:tc>
          <w:tcPr>
            <w:tcW w:w="1872" w:type="dxa"/>
          </w:tcPr>
          <w:p>
            <w:pPr/>
            <w:r>
              <w:t xml:space="preserve">Growth system: Facebook-led, Instagram cross-post, Google Business Profile, weekly email; weighting per D-050, analytics per D-046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Baselined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D-015</w:t>
            </w:r>
          </w:p>
        </w:tc>
        <w:tc>
          <w:tcPr>
            <w:tcW w:w="1872" w:type="dxa"/>
          </w:tcPr>
          <w:p>
            <w:pPr/>
            <w:r>
              <w:t xml:space="preserve">Paid ads and Timely Innovate start together after brand launch and a proven lead magnet; $150 to $250 per month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Baselined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D-016</w:t>
            </w:r>
          </w:p>
        </w:tc>
        <w:tc>
          <w:tcPr>
            <w:tcW w:w="1872" w:type="dxa"/>
          </w:tcPr>
          <w:p>
            <w:pPr/>
            <w:r>
              <w:t xml:space="preserve">CMS: Payload or Sanity. Superseded by D-036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D-017</w:t>
            </w:r>
          </w:p>
        </w:tc>
        <w:tc>
          <w:tcPr>
            <w:tcW w:w="1872" w:type="dxa"/>
          </w:tcPr>
          <w:p>
            <w:pPr/>
            <w:r>
              <w:t xml:space="preserve">Coaching agent data boundary: any AI processing health data needs a BAA-covered provider (D-042)</w:t>
            </w:r>
          </w:p>
        </w:tc>
        <w:tc>
          <w:tcPr>
            <w:tcW w:w="1872" w:type="dxa"/>
          </w:tcPr>
          <w:p>
            <w:pPr/>
            <w:r>
              <w:t xml:space="preserve">Coaching agents</w:t>
            </w:r>
          </w:p>
        </w:tc>
        <w:tc>
          <w:tcPr>
            <w:tcW w:w="1872" w:type="dxa"/>
          </w:tcPr>
          <w:p>
            <w:pPr/>
            <w:r>
              <w:t xml:space="preserve">Proposed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D-018</w:t>
            </w:r>
          </w:p>
        </w:tc>
        <w:tc>
          <w:tcPr>
            <w:tcW w:w="1872" w:type="dxa"/>
          </w:tcPr>
          <w:p>
            <w:pPr/>
            <w:r>
              <w:t xml:space="preserve">Modular catalog: a client can hold any combination of plans and products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D-019</w:t>
            </w:r>
          </w:p>
        </w:tc>
        <w:tc>
          <w:tcPr>
            <w:tcW w:w="1872" w:type="dxa"/>
          </w:tcPr>
          <w:p>
            <w:pPr/>
            <w:r>
              <w:t xml:space="preserve">Client self-tracking, including health measures, permitted within D-042 controls</w:t>
            </w:r>
          </w:p>
        </w:tc>
        <w:tc>
          <w:tcPr>
            <w:tcW w:w="1872" w:type="dxa"/>
          </w:tcPr>
          <w:p>
            <w:pPr/>
            <w:r>
              <w:t xml:space="preserve">Experience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D-020</w:t>
            </w:r>
          </w:p>
        </w:tc>
        <w:tc>
          <w:tcPr>
            <w:tcW w:w="1872" w:type="dxa"/>
          </w:tcPr>
          <w:p>
            <w:pPr/>
            <w:r>
              <w:t xml:space="preserve">Master brand name: TAB Wellness Collective (clearance checks in progress)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D-021</w:t>
            </w:r>
          </w:p>
        </w:tc>
        <w:tc>
          <w:tcPr>
            <w:tcW w:w="1872" w:type="dxa"/>
          </w:tcPr>
          <w:p>
            <w:pPr/>
            <w:r>
              <w:t xml:space="preserve">Brand architecture: branded house; four descriptive pillars; branded programs later; practitioner executes the brand but isn't built into it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D-022</w:t>
            </w:r>
          </w:p>
        </w:tc>
        <w:tc>
          <w:tcPr>
            <w:tcW w:w="1872" w:type="dxa"/>
          </w:tcPr>
          <w:p>
            <w:pPr/>
            <w:r>
              <w:t xml:space="preserve">Brand philosophy: Transform. Align. Become., as a journey and an interconnected model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D-023</w:t>
            </w:r>
          </w:p>
        </w:tc>
        <w:tc>
          <w:tcPr>
            <w:tcW w:w="1872" w:type="dxa"/>
          </w:tcPr>
          <w:p>
            <w:pPr/>
            <w:r>
              <w:t xml:space="preserve">Master brand audience: gender-neutral, whole-person; Women's Wellness Coaching gets targeted messaging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D-024</w:t>
            </w:r>
          </w:p>
        </w:tc>
        <w:tc>
          <w:tcPr>
            <w:tcW w:w="1872" w:type="dxa"/>
          </w:tcPr>
          <w:p>
            <w:pPr/>
            <w:r>
              <w:t xml:space="preserve">Brand foundation adopted in full: promise, mission, personality, voice, values, positioning, decision hierarchy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D-025</w:t>
            </w:r>
          </w:p>
        </w:tc>
        <w:tc>
          <w:tcPr>
            <w:tcW w:w="1872" w:type="dxa"/>
          </w:tcPr>
          <w:p>
            <w:pPr/>
            <w:r>
              <w:t xml:space="preserve">Primary tagline: "Whole-person wellness for stronger bodies and fuller lives."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D-026</w:t>
            </w:r>
          </w:p>
        </w:tc>
        <w:tc>
          <w:tcPr>
            <w:tcW w:w="1872" w:type="dxa"/>
          </w:tcPr>
          <w:p>
            <w:pPr/>
            <w:r>
              <w:t xml:space="preserve">Visual identity guardrails and avoid list. Superseded by D-047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Superseded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D-027</w:t>
            </w:r>
          </w:p>
        </w:tc>
        <w:tc>
          <w:tcPr>
            <w:tcW w:w="1872" w:type="dxa"/>
          </w:tcPr>
          <w:p>
            <w:pPr/>
            <w:r>
              <w:t xml:space="preserve">Logo and visual identity production outsourced to an external designer (timing per D-048)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D-028</w:t>
            </w:r>
          </w:p>
        </w:tc>
        <w:tc>
          <w:tcPr>
            <w:tcW w:w="1872" w:type="dxa"/>
          </w:tcPr>
          <w:p>
            <w:pPr/>
            <w:r>
              <w:t xml:space="preserve">Service pillars and scope, per Step 13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D-029</w:t>
            </w:r>
          </w:p>
        </w:tc>
        <w:tc>
          <w:tcPr>
            <w:tcW w:w="1872" w:type="dxa"/>
          </w:tcPr>
          <w:p>
            <w:pPr/>
            <w:r>
              <w:t xml:space="preserve">TAB Method: Start Where You Are, Transform, Align, Become, Evolve, per Step 14</w:t>
            </w:r>
          </w:p>
        </w:tc>
        <w:tc>
          <w:tcPr>
            <w:tcW w:w="1872" w:type="dxa"/>
          </w:tcPr>
          <w:p>
            <w:pPr/>
            <w:r>
              <w:t xml:space="preserve">Experience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D-030</w:t>
            </w:r>
          </w:p>
        </w:tc>
        <w:tc>
          <w:tcPr>
            <w:tcW w:w="1872" w:type="dxa"/>
          </w:tcPr>
          <w:p>
            <w:pPr/>
            <w:r>
              <w:t xml:space="preserve">Customer journey (eight stages plus Evolve) and seven experience principles, per Step 14</w:t>
            </w:r>
          </w:p>
        </w:tc>
        <w:tc>
          <w:tcPr>
            <w:tcW w:w="1872" w:type="dxa"/>
          </w:tcPr>
          <w:p>
            <w:pPr/>
            <w:r>
              <w:t xml:space="preserve">Experience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D-031</w:t>
            </w:r>
          </w:p>
        </w:tc>
        <w:tc>
          <w:tcPr>
            <w:tcW w:w="1872" w:type="dxa"/>
          </w:tcPr>
          <w:p>
            <w:pPr/>
            <w:r>
              <w:t xml:space="preserve">Minimum viable operating system and seven client artifacts, built for one per D-045</w:t>
            </w:r>
          </w:p>
        </w:tc>
        <w:tc>
          <w:tcPr>
            <w:tcW w:w="1872" w:type="dxa"/>
          </w:tcPr>
          <w:p>
            <w:pPr/>
            <w:r>
              <w:t xml:space="preserve">Experience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D-032</w:t>
            </w:r>
          </w:p>
        </w:tc>
        <w:tc>
          <w:tcPr>
            <w:tcW w:w="1872" w:type="dxa"/>
          </w:tcPr>
          <w:p>
            <w:pPr/>
            <w:r>
              <w:t xml:space="preserve">Messaging architecture, headline, primary CTA, language guardrails, per Step 15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D-033</w:t>
            </w:r>
          </w:p>
        </w:tc>
        <w:tc>
          <w:tcPr>
            <w:tcW w:w="1872" w:type="dxa"/>
          </w:tcPr>
          <w:p>
            <w:pPr/>
            <w:r>
              <w:t xml:space="preserve">Public website architecture: sitemap, navigation, URLs, homepage story, service template, SEO, per Step 16</w:t>
            </w:r>
          </w:p>
        </w:tc>
        <w:tc>
          <w:tcPr>
            <w:tcW w:w="1872" w:type="dxa"/>
          </w:tcPr>
          <w:p>
            <w:pPr/>
            <w:r>
              <w:t xml:space="preserve">Experience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D-034</w:t>
            </w:r>
          </w:p>
        </w:tc>
        <w:tc>
          <w:tcPr>
            <w:tcW w:w="1872" w:type="dxa"/>
          </w:tcPr>
          <w:p>
            <w:pPr/>
            <w:r>
              <w:t xml:space="preserve">My TAB portal scope and MVP, launched after the public site; programs and cohorts in Phase 2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D-035</w:t>
            </w:r>
          </w:p>
        </w:tc>
        <w:tc>
          <w:tcPr>
            <w:tcW w:w="1872" w:type="dxa"/>
          </w:tcPr>
          <w:p>
            <w:pPr/>
            <w:r>
              <w:t xml:space="preserve">System-of-record matrix: Timely, Stripe, Payload, My TAB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D-036</w:t>
            </w:r>
          </w:p>
        </w:tc>
        <w:tc>
          <w:tcPr>
            <w:tcW w:w="1872" w:type="dxa"/>
          </w:tcPr>
          <w:p>
            <w:pPr/>
            <w:r>
              <w:t xml:space="preserve">CMS: Payload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D-037</w:t>
            </w:r>
          </w:p>
        </w:tc>
        <w:tc>
          <w:tcPr>
            <w:tcW w:w="1872" w:type="dxa"/>
          </w:tcPr>
          <w:p>
            <w:pPr/>
            <w:r>
              <w:t xml:space="preserve">WCAG 2.2 AA; responsive web app before native apps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D-038</w:t>
            </w:r>
          </w:p>
        </w:tc>
        <w:tc>
          <w:tcPr>
            <w:tcW w:w="1872" w:type="dxa"/>
          </w:tcPr>
          <w:p>
            <w:pPr/>
            <w:r>
              <w:t xml:space="preserve">Naming rules: never "TAB Wellness" as shorthand; proprietary TAB names; domain and handle hierarchy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D-039</w:t>
            </w:r>
          </w:p>
        </w:tc>
        <w:tc>
          <w:tcPr>
            <w:tcW w:w="1872" w:type="dxa"/>
          </w:tcPr>
          <w:p>
            <w:pPr/>
            <w:r>
              <w:t xml:space="preserve">Visual identity direction: hybrid symbol and wordmark, palette, serif and sans pairing, per Step 18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D-040</w:t>
            </w:r>
          </w:p>
        </w:tc>
        <w:tc>
          <w:tcPr>
            <w:tcW w:w="1872" w:type="dxa"/>
          </w:tcPr>
          <w:p>
            <w:pPr/>
            <w:r>
              <w:t xml:space="preserve">Rebrand transition plan: five phases, clearance gate, accounts renamed in place, per Step 19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D-041</w:t>
            </w:r>
          </w:p>
        </w:tc>
        <w:tc>
          <w:tcPr>
            <w:tcW w:w="1872" w:type="dxa"/>
          </w:tcPr>
          <w:p>
            <w:pPr/>
            <w:r>
              <w:t xml:space="preserve">Documentation governance: Playbook for reference, register for decisions; Architecture Plan retired</w:t>
            </w:r>
          </w:p>
        </w:tc>
        <w:tc>
          <w:tcPr>
            <w:tcW w:w="1872" w:type="dxa"/>
          </w:tcPr>
          <w:p>
            <w:pPr/>
            <w:r>
              <w:t xml:space="preserve">Program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D-042</w:t>
            </w:r>
          </w:p>
        </w:tc>
        <w:tc>
          <w:tcPr>
            <w:tcW w:w="1872" w:type="dxa"/>
          </w:tcPr>
          <w:p>
            <w:pPr/>
            <w:r>
              <w:t xml:space="preserve">My TAB is a sensitive-data system on HIPAA-eligible infrastructure (supersedes D-002)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D-043</w:t>
            </w:r>
          </w:p>
        </w:tc>
        <w:tc>
          <w:tcPr>
            <w:tcW w:w="1872" w:type="dxa"/>
          </w:tcPr>
          <w:p>
            <w:pPr/>
            <w:r>
              <w:t xml:space="preserve">Dual growth focus: local practice and virtual; programs and cohorts move into portal Phase 2 (supersedes D-008)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D-044</w:t>
            </w:r>
          </w:p>
        </w:tc>
        <w:tc>
          <w:tcPr>
            <w:tcW w:w="1872" w:type="dxa"/>
          </w:tcPr>
          <w:p>
            <w:pPr/>
            <w:r>
              <w:t xml:space="preserve">Programs are client templates and, selectively, products sold under their pillar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D-045</w:t>
            </w:r>
          </w:p>
        </w:tc>
        <w:tc>
          <w:tcPr>
            <w:tcW w:w="1872" w:type="dxa"/>
          </w:tcPr>
          <w:p>
            <w:pPr/>
            <w:r>
              <w:t xml:space="preserve">Model for a team, build for one: MVP roles are owner-practitioner and client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D-046</w:t>
            </w:r>
          </w:p>
        </w:tc>
        <w:tc>
          <w:tcPr>
            <w:tcW w:w="1872" w:type="dxa"/>
          </w:tcPr>
          <w:p>
            <w:pPr/>
            <w:r>
              <w:t xml:space="preserve">Analytics: Plausible on public pages; ad pixels only once paid ads start; never in My TAB or on health forms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D-047</w:t>
            </w:r>
          </w:p>
        </w:tc>
        <w:tc>
          <w:tcPr>
            <w:tcW w:w="1872" w:type="dxa"/>
          </w:tcPr>
          <w:p>
            <w:pPr/>
            <w:r>
              <w:t xml:space="preserve">Visual guardrails amended to permit the Step 18 service icons and symbol (supersedes D-026)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D-048</w:t>
            </w:r>
          </w:p>
        </w:tc>
        <w:tc>
          <w:tcPr>
            <w:tcW w:w="1872" w:type="dxa"/>
          </w:tcPr>
          <w:p>
            <w:pPr/>
            <w:r>
              <w:t xml:space="preserve">Visual identity production proceeds in parallel with trademark clearance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D-049</w:t>
            </w:r>
          </w:p>
        </w:tc>
        <w:tc>
          <w:tcPr>
            <w:tcW w:w="1872" w:type="dxa"/>
          </w:tcPr>
          <w:p>
            <w:pPr/>
            <w:r>
              <w:t xml:space="preserve">All adult segments in scope, including older adults virtually; youth athletes deferred (supersedes D-009)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D-050</w:t>
            </w:r>
          </w:p>
        </w:tc>
        <w:tc>
          <w:tcPr>
            <w:tcW w:w="1872" w:type="dxa"/>
          </w:tcPr>
          <w:p>
            <w:pPr/>
            <w:r>
              <w:t xml:space="preserve">Marketing weight: four pillars weighted equally (replaces D-014's 70/30)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D-051</w:t>
            </w:r>
          </w:p>
        </w:tc>
        <w:tc>
          <w:tcPr>
            <w:tcW w:w="1872" w:type="dxa"/>
          </w:tcPr>
          <w:p>
            <w:pPr/>
            <w:r>
              <w:t xml:space="preserve">The bridge operates under the Step 14 cross-service protocol</w:t>
            </w:r>
          </w:p>
        </w:tc>
        <w:tc>
          <w:tcPr>
            <w:tcW w:w="1872" w:type="dxa"/>
          </w:tcPr>
          <w:p>
            <w:pPr/>
            <w:r>
              <w:t xml:space="preserve">Strategy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D-052</w:t>
            </w:r>
          </w:p>
        </w:tc>
        <w:tc>
          <w:tcPr>
            <w:tcW w:w="1872" w:type="dxa"/>
          </w:tcPr>
          <w:p>
            <w:pPr/>
            <w:r>
              <w:t xml:space="preserve">Payment ownership: Timely for appointments and packages; Stripe direct for digital products and subscriptions; one Stripe customer per client</w:t>
            </w:r>
          </w:p>
        </w:tc>
        <w:tc>
          <w:tcPr>
            <w:tcW w:w="1872" w:type="dxa"/>
          </w:tcPr>
          <w:p>
            <w:pPr/>
            <w:r>
              <w:t xml:space="preserve">Architecture</w:t>
            </w:r>
          </w:p>
        </w:tc>
        <w:tc>
          <w:tcPr>
            <w:tcW w:w="1872" w:type="dxa"/>
          </w:tcPr>
          <w:p>
            <w:pPr/>
            <w:r>
              <w:t xml:space="preserve">Accepted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D-053</w:t>
            </w:r>
          </w:p>
        </w:tc>
        <w:tc>
          <w:tcPr>
            <w:tcW w:w="1872" w:type="dxa"/>
          </w:tcPr>
          <w:p>
            <w:pPr/>
            <w:r>
              <w:t xml:space="preserve">Canonical design tokens: Cormorant Garamond and Manrope; nine-color palette with hex values; Deep Terracotta for accessible interactive use</w:t>
            </w:r>
          </w:p>
        </w:tc>
        <w:tc>
          <w:tcPr>
            <w:tcW w:w="1872" w:type="dxa"/>
          </w:tcPr>
          <w:p>
            <w:pPr/>
            <w:r>
              <w:t xml:space="preserve">Brand</w:t>
            </w:r>
          </w:p>
        </w:tc>
        <w:tc>
          <w:tcPr>
            <w:tcW w:w="1872" w:type="dxa"/>
          </w:tcPr>
          <w:p>
            <w:pPr/>
            <w:r>
              <w:t xml:space="preserve">Pending register entry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D-054</w:t>
            </w:r>
          </w:p>
        </w:tc>
        <w:tc>
          <w:tcPr>
            <w:tcW w:w="1872" w:type="dxa"/>
          </w:tcPr>
          <w:p>
            <w:pPr/>
            <w:r>
              <w:t xml:space="preserve">Start Where You Are and contact submissions are emailed to info@tabwellnesscollective.com, not stored in the app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Pending register entry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D-055</w:t>
            </w:r>
          </w:p>
        </w:tc>
        <w:tc>
          <w:tcPr>
            <w:tcW w:w="1872" w:type="dxa"/>
          </w:tcPr>
          <w:p>
            <w:pPr/>
            <w:r>
              <w:t xml:space="preserve">Build approach: Phase 1 site plus Phase 2 foundation in one config-driven codebase; placeholders for missing assets; development continues in Claude Code</w:t>
            </w:r>
          </w:p>
        </w:tc>
        <w:tc>
          <w:tcPr>
            <w:tcW w:w="1872" w:type="dxa"/>
          </w:tcPr>
          <w:p>
            <w:pPr/>
            <w:r>
              <w:t xml:space="preserve">Build</w:t>
            </w:r>
          </w:p>
        </w:tc>
        <w:tc>
          <w:tcPr>
            <w:tcW w:w="1872" w:type="dxa"/>
          </w:tcPr>
          <w:p>
            <w:pPr/>
            <w:r>
              <w:t xml:space="preserve">Pending register entry</w:t>
            </w:r>
          </w:p>
        </w:tc>
        <w:tc>
          <w:tcPr>
            <w:tcW w:w="1872" w:type="dxa"/>
          </w:tcPr>
          <w:p>
            <w:pPr/>
            <w:r>
              <w:t xml:space="preserve">2026-09-27</w:t>
            </w:r>
          </w:p>
        </w:tc>
      </w:tr>
    </w:tbl>
    <w:p>
      <w:pPr>
        <w:pStyle w:val="Heading2"/>
      </w:pPr>
      <w:r>
        <w:t xml:space="preserve">Decision detail</w:t>
      </w:r>
    </w:p>
    <w:p>
      <w:pPr/>
      <w:r>
        <w:t xml:space="preserve">The substance behind each decision, grouped by workstream. Full context and options for D-001 to D-018 are in the architecture decision records below.</w:t>
      </w:r>
    </w:p>
    <w:p>
      <w:pPr>
        <w:pStyle w:val="Heading3"/>
      </w:pPr>
      <w:r>
        <w:t xml:space="preserve">Strategy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Growth focus (D-043):</w:t>
      </w:r>
      <w:r>
        <w:t xml:space="preserve"> Grow both the integrated local practice and virtual coaching and wellness. Digital programs, cohorts, and paid content move into portal Phase 2.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Segments (D-049):</w:t>
      </w:r>
      <w:r>
        <w:t xml:space="preserve"> All adult segments are in scope, including older adults for in-person and virtual services, with health screening and clearance. Youth athletes stay deferred.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Offer ladder (D-010, baselined):</w:t>
      </w:r>
      <w:r>
        <w:t xml:space="preserve"> Free lead magnets, self-paced programs, membership (library plus group), capped premium 1:1. Launch set: one lead magnet per segment; 12-week 1:1 with fixed calls and a defined async response window; a midlife pilot cohort of 8 to 12 clients over 8 weeks, recorded to become the self-paced program.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Programs (D-044):</w:t>
      </w:r>
      <w:r>
        <w:t xml:space="preserve"> Reusable templates practitioners personalize; selected ones are also sold as products under their pillar, with descriptive names.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Pricing (D-011, baselined):</w:t>
      </w:r>
      <w:r>
        <w:t xml:space="preserve"> Midlife self-paced $147, pilot cohort $397 (founding rate), 12-week 1:1 $1,800. General adults self-paced $97, 12-week 1:1 $900. Membership $49 per month when launched. 1:1 includes all self-paced programs. Year-one success: about $25,000 revenue, the pilot cohort run and its self-paced program launched, and an email list of qualified prospects.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Catalog (D-018):</w:t>
      </w:r>
      <w:r>
        <w:t xml:space="preserve"> Each plan or product is its own Stripe product; bundles are curated combinations; entitlements are many-to-many.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Bridge (D-013, baselined; D-051):</w:t>
      </w:r>
      <w:r>
        <w:t xml:space="preserve"> Client-led conversation after treatment, never during; checkout card with a QR code to the free guide; Timely post-appointment message to opted-in clients; complimentary 20-minute discovery call; referral program rewarded with massage credit. All of it runs under the Step 14 cross-service protocol: passive prompts are fine, direct recommendations only when a need is visible, bundles offered, never pushed.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Growth system (D-014, baselined; D-050):</w:t>
      </w:r>
      <w:r>
        <w:t xml:space="preserve"> Google Business Profile for local discovery; Facebook-led with Instagram cross-posts for awareness; lead magnet for capture; weekly email for nurture. One weekly pillar piece cut into three short videos plus photos. All four pillars are weighted equally.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Paid ads (D-015, baselined):</w:t>
      </w:r>
      <w:r>
        <w:t xml:space="preserve"> Start only when the new brand is live, the lead magnet converts organically, and Timely Innovate is in place. $150 to $250 per month on Meta, promoting the lead magnet.</w:t>
      </w:r>
    </w:p>
    <w:p>
      <w:pPr>
        <w:pStyle w:val="Heading3"/>
      </w:pPr>
      <w:r>
        <w:t xml:space="preserve">Brand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Name and architecture (D-020, D-021):</w:t>
      </w:r>
      <w:r>
        <w:t xml:space="preserve"> TAB Wellness Collective, a branded house. "Collective" means the collection of services, not multiple practitioners. Four pillars: Massage &amp; Bodywork, Personal Strength Training, Women's Wellness Coaching, Holistic Life Coaching. The practitioner executes the brand and may be its public face but isn't built into the identity.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Philosophy and method (D-022, D-029):</w:t>
      </w:r>
      <w:r>
        <w:t xml:space="preserve"> Transform. Align. Become., extended into the TAB Method: Start Where You Are, Transform, Align, Become, Evolve.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Audience (D-023):</w:t>
      </w:r>
      <w:r>
        <w:t xml:space="preserve"> Gender-neutral and whole-person; Women's Wellness Coaching carries targeted messaging.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Foundation, tagline, messaging (D-024, D-025, D-032):</w:t>
      </w:r>
      <w:r>
        <w:t xml:space="preserve"> Brand Foundation adopted in full. Tagline "Whole-person wellness for stronger bodies and fuller lives." Homepage headline "Whole-person wellness, built around you." Primary CTA "Start Where You Are." Language guardrails include careful use of "hormone balance."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Naming rules (D-038):</w:t>
      </w:r>
      <w:r>
        <w:t xml:space="preserve"> Full name in all listings and metadata; never "TAB Wellness"; tabwellnesscollective.com primary, tabmassage.com kept permanently.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Visual identity (D-039, D-047, D-048, D-053, D-027):</w:t>
      </w:r>
      <w:r>
        <w:t xml:space="preserve"> Hybrid symbol and wordmark; Step 18 service icons permitted; production proceeds in parallel with clearance; external designer produces the files. Canonical tokens: Cormorant Garamond and Manrope; Sand #EDE7DC, Linen #DCCFBD, Sage #97A07C, Olive #5A6046, Terracotta #C0784C, Deep Terracotta #A85F3A, Charcoal #252724, Cream #F8F5EF, White #FFFFFF.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Transition (D-040):</w:t>
      </w:r>
      <w:r>
        <w:t xml:space="preserve"> Five phases with a clearance go/no-go gate; accounts, Timely, and Stripe renamed in place; "formerly TAB Massage &amp; Fitness" shown for 90 to 180 days; three client communications.</w:t>
      </w:r>
    </w:p>
    <w:p>
      <w:pPr>
        <w:pStyle w:val="Heading3"/>
      </w:pPr>
      <w:r>
        <w:t xml:space="preserve">Experience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Service pillars (D-028):</w:t>
      </w:r>
      <w:r>
        <w:t xml:space="preserve"> Definitions, audiences, approach, and anchor principles, each bounded by professional scope of practice.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Journey and operating model (D-030, D-031):</w:t>
      </w:r>
      <w:r>
        <w:t xml:space="preserve"> Eight internal stages plus Evolve; seven experience principles; success is never measured by maximizing service use. Seven client artifacts: Get Started form, client profile, service intakes, Wellness Plan, progress review, handoff, continuation conversation.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Public website (D-033):</w:t>
      </w:r>
      <w:r>
        <w:t xml:space="preserve"> Sitemap, URL scheme, homepage sequence, service-page template, local SEO, and redirect plan.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Self-tracking (D-019):</w:t>
      </w:r>
      <w:r>
        <w:t xml:space="preserve"> Permitted, including health measures, within D-042 controls.</w:t>
      </w:r>
    </w:p>
    <w:p>
      <w:pPr>
        <w:pStyle w:val="Heading3"/>
      </w:pPr>
      <w:r>
        <w:t xml:space="preserve">Build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Portal (D-034, D-045):</w:t>
      </w:r>
      <w:r>
        <w:t xml:space="preserve"> My TAB launches after the public site; appointments through Timely client login, billing through the Stripe customer portal. MVP roles are owner-practitioner and client; the data model supports a team.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Content and accessibility (D-036, D-037):</w:t>
      </w:r>
      <w:r>
        <w:t xml:space="preserve"> Payload CMS; WCAG 2.2 AA; responsive web app before any native app.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Analytics (D-046):</w:t>
      </w:r>
      <w:r>
        <w:t xml:space="preserve"> Plausible on public pages; Meta pixel and Tag Manager only on public pages once ads start; never in My TAB or on health-related forms.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Forms (D-054):</w:t>
      </w:r>
      <w:r>
        <w:t xml:space="preserve"> Start Where You Are and contact submissions go by email to info@tabwellnesscollective.com; subject lines carry no personal details; the form asks visitors not to include medical details.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Build approach (D-055):</w:t>
      </w:r>
      <w:r>
        <w:t xml:space="preserve"> One config-driven Next.js codebase covering the public site, My TAB, and the practice workspace. Missing assets and values are placeholders that degrade gracefully. Further development moves to Claude Code.</w:t>
      </w:r>
    </w:p>
    <w:p>
      <w:pPr>
        <w:pStyle w:val="Heading3"/>
      </w:pPr>
      <w:r>
        <w:t xml:space="preserve">Coaching agents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Data boundary (D-017, proposed):</w:t>
      </w:r>
      <w:r>
        <w:t xml:space="preserve"> Any AI that processes client health data must run through a BAA-covered provider under D-042.</w:t>
      </w:r>
    </w:p>
    <w:p>
      <w:pPr>
        <w:pStyle w:val="Heading2"/>
      </w:pPr>
      <w:r>
        <w:t xml:space="preserve">Architecture decision records</w:t>
      </w:r>
    </w:p>
    <w:p>
      <w:pPr/>
      <w:r>
        <w:t xml:space="preserve">Each record gives context, options considered, the decision, and consequences. D-002 and D-008 are kept for history; their replacements follow.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ADR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Context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Options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Consequences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D-001 Own the experience, rent operations</w:t>
            </w:r>
          </w:p>
        </w:tc>
        <w:tc>
          <w:tcPr>
            <w:tcW w:w="1872" w:type="dxa"/>
          </w:tcPr>
          <w:p>
            <w:pPr/>
            <w:r>
              <w:t xml:space="preserve">Goal was a custom portal with booking, profile, content, products, and messaging to cut cost; Timely Elevate already covers booking, self-service, forms, packages, deposits</w:t>
            </w:r>
          </w:p>
        </w:tc>
        <w:tc>
          <w:tcPr>
            <w:tcW w:w="1872" w:type="dxa"/>
          </w:tcPr>
          <w:p>
            <w:pPr/>
            <w:r>
              <w:t xml:space="preserve">(a) Build everything custom; (b) buy an all-in-one platform; (c) thin portal, keep Timely and Stripe</w:t>
            </w:r>
          </w:p>
        </w:tc>
        <w:tc>
          <w:tcPr>
            <w:tcW w:w="1872" w:type="dxa"/>
          </w:tcPr>
          <w:p>
            <w:pPr/>
            <w:r>
              <w:t xml:space="preserve">(c)</w:t>
            </w:r>
          </w:p>
        </w:tc>
        <w:tc>
          <w:tcPr>
            <w:tcW w:w="1872" w:type="dxa"/>
          </w:tcPr>
          <w:p>
            <w:pPr/>
            <w:r>
              <w:t xml:space="preserve">Build effort goes to brand, content, programs. Appointment actions stay in Timely. Timely remains a paid dependency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D-002 No health data in owned systems (superseded)</w:t>
            </w:r>
          </w:p>
        </w:tc>
        <w:tc>
          <w:tcPr>
            <w:tcW w:w="1872" w:type="dxa"/>
          </w:tcPr>
          <w:p>
            <w:pPr/>
            <w:r>
              <w:t xml:space="preserve">Hormone coaching and intake involve health information; a breach would be existential</w:t>
            </w:r>
          </w:p>
        </w:tc>
        <w:tc>
          <w:tcPr>
            <w:tcW w:w="1872" w:type="dxa"/>
          </w:tcPr>
          <w:p>
            <w:pPr/>
            <w:r>
              <w:t xml:space="preserve">(a) Store in owned database; (b) keep it in Timely only</w:t>
            </w:r>
          </w:p>
        </w:tc>
        <w:tc>
          <w:tcPr>
            <w:tcW w:w="1872" w:type="dxa"/>
          </w:tcPr>
          <w:p>
            <w:pPr/>
            <w:r>
              <w:t xml:space="preserve">(b)</w:t>
            </w:r>
          </w:p>
        </w:tc>
        <w:tc>
          <w:tcPr>
            <w:tcW w:w="1872" w:type="dxa"/>
          </w:tcPr>
          <w:p>
            <w:pPr/>
            <w:r>
              <w:t xml:space="preserve">Removed most compliance burden but limited personalization. Replaced by D-042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D-003 Timely by embed</w:t>
            </w:r>
          </w:p>
        </w:tc>
        <w:tc>
          <w:tcPr>
            <w:tcW w:w="1872" w:type="dxa"/>
          </w:tcPr>
          <w:p>
            <w:pPr/>
            <w:r>
              <w:t xml:space="preserve">Timely has no public API; Zapier is Innovate-only and read-only</w:t>
            </w:r>
          </w:p>
        </w:tc>
        <w:tc>
          <w:tcPr>
            <w:tcW w:w="1872" w:type="dxa"/>
          </w:tcPr>
          <w:p>
            <w:pPr/>
            <w:r>
              <w:t xml:space="preserve">(a) Embed only; (b) upgrade and sync via Zapier; (c) switch platforms</w:t>
            </w:r>
          </w:p>
        </w:tc>
        <w:tc>
          <w:tcPr>
            <w:tcW w:w="1872" w:type="dxa"/>
          </w:tcPr>
          <w:p>
            <w:pPr/>
            <w:r>
              <w:t xml:space="preserve">(a) at launch; (b) revisited under D-015</w:t>
            </w:r>
          </w:p>
        </w:tc>
        <w:tc>
          <w:tcPr>
            <w:tcW w:w="1872" w:type="dxa"/>
          </w:tcPr>
          <w:p>
            <w:pPr/>
            <w:r>
              <w:t xml:space="preserve">No native appointment view in the portal at launch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D-004 Stripe for digital revenue</w:t>
            </w:r>
          </w:p>
        </w:tc>
        <w:tc>
          <w:tcPr>
            <w:tcW w:w="1872" w:type="dxa"/>
          </w:tcPr>
          <w:p>
            <w:pPr/>
            <w:r>
              <w:t xml:space="preserve">Stripe already provisioned; course platforms add monthly fees</w:t>
            </w:r>
          </w:p>
        </w:tc>
        <w:tc>
          <w:tcPr>
            <w:tcW w:w="1872" w:type="dxa"/>
          </w:tcPr>
          <w:p>
            <w:pPr/>
            <w:r>
              <w:t xml:space="preserve">(a) Stripe Checkout and Billing with portal-gated access; (b) Kajabi or similar</w:t>
            </w:r>
          </w:p>
        </w:tc>
        <w:tc>
          <w:tcPr>
            <w:tcW w:w="1872" w:type="dxa"/>
          </w:tcPr>
          <w:p>
            <w:pPr/>
            <w:r>
              <w:t xml:space="preserve">(a)</w:t>
            </w:r>
          </w:p>
        </w:tc>
        <w:tc>
          <w:tcPr>
            <w:tcW w:w="1872" w:type="dxa"/>
          </w:tcPr>
          <w:p>
            <w:pPr/>
            <w:r>
              <w:t xml:space="preserve">Portal must implement entitlements. No new platform fee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D-005 Core stack</w:t>
            </w:r>
          </w:p>
        </w:tc>
        <w:tc>
          <w:tcPr>
            <w:tcW w:w="1872" w:type="dxa"/>
          </w:tcPr>
          <w:p>
            <w:pPr/>
            <w:r>
              <w:t xml:space="preserve">Need a modern, secure, scalable stack with few vendors</w:t>
            </w:r>
          </w:p>
        </w:tc>
        <w:tc>
          <w:tcPr>
            <w:tcW w:w="1872" w:type="dxa"/>
          </w:tcPr>
          <w:p>
            <w:pPr/>
            <w:r>
              <w:t xml:space="preserve">Next.js vs Webflow or Framer; Supabase vs Neon plus Auth.js; Vercel vs Cloudflare</w:t>
            </w:r>
          </w:p>
        </w:tc>
        <w:tc>
          <w:tcPr>
            <w:tcW w:w="1872" w:type="dxa"/>
          </w:tcPr>
          <w:p>
            <w:pPr/>
            <w:r>
              <w:t xml:space="preserve">Next.js, TypeScript, Tailwind, Supabase, Vercel, Cloudflare, Bunny Stream, Resend, GitHub</w:t>
            </w:r>
          </w:p>
        </w:tc>
        <w:tc>
          <w:tcPr>
            <w:tcW w:w="1872" w:type="dxa"/>
          </w:tcPr>
          <w:p>
            <w:pPr/>
            <w:r>
              <w:t xml:space="preserve">One codebase; developer skills needed to change it. Cloudflare and Bunny Stream unused so far (A-03)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D-006 Paid tiers from launch</w:t>
            </w:r>
          </w:p>
        </w:tc>
        <w:tc>
          <w:tcPr>
            <w:tcW w:w="1872" w:type="dxa"/>
          </w:tcPr>
          <w:p>
            <w:pPr/>
            <w:r>
              <w:t xml:space="preserve">Free tiers restrict commercial use or pause inactive projects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Vercel Pro and Supabase Pro, about $45 per month</w:t>
            </w:r>
          </w:p>
        </w:tc>
        <w:tc>
          <w:tcPr>
            <w:tcW w:w="1872" w:type="dxa"/>
          </w:tcPr>
          <w:p>
            <w:pPr/>
            <w:r>
              <w:t xml:space="preserve">Superseded in cost by D-042: about $1,300 per month once HIPAA tiers apply (R-025)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D-007 Deferred capabilities</w:t>
            </w:r>
          </w:p>
        </w:tc>
        <w:tc>
          <w:tcPr>
            <w:tcW w:w="1872" w:type="dxa"/>
          </w:tcPr>
          <w:p>
            <w:pPr/>
            <w:r>
              <w:t xml:space="preserve">Secure messaging, custom scheduling, native apps add cost or duplicate Timely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Defer all three; revisit with usage data</w:t>
            </w:r>
          </w:p>
        </w:tc>
        <w:tc>
          <w:tcPr>
            <w:tcW w:w="1872" w:type="dxa"/>
          </w:tcPr>
          <w:p>
            <w:pPr/>
            <w:r>
              <w:t xml:space="preserve">Client messaging stays in existing channels; portal uses check-in replies instead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D-042 Sensitive-data portal</w:t>
            </w:r>
          </w:p>
        </w:tc>
        <w:tc>
          <w:tcPr>
            <w:tcW w:w="1872" w:type="dxa"/>
          </w:tcPr>
          <w:p>
            <w:pPr/>
            <w:r>
              <w:t xml:space="preserve">Step 16 made My TAB hold profiles, progress, intakes, and practitioner notes</w:t>
            </w:r>
          </w:p>
        </w:tc>
        <w:tc>
          <w:tcPr>
            <w:tcW w:w="1872" w:type="dxa"/>
          </w:tcPr>
          <w:p>
            <w:pPr/>
            <w:r>
              <w:t xml:space="preserve">Keep D-002 or accept a sensitive-data design</w:t>
            </w:r>
          </w:p>
        </w:tc>
        <w:tc>
          <w:tcPr>
            <w:tcW w:w="1872" w:type="dxa"/>
          </w:tcPr>
          <w:p>
            <w:pPr/>
            <w:r>
              <w:t xml:space="preserve">Accept: HIPAA-eligible infrastructure, BAAs, RLS, audit logging, MFA</w:t>
            </w:r>
          </w:p>
        </w:tc>
        <w:tc>
          <w:tcPr>
            <w:tcW w:w="1872" w:type="dxa"/>
          </w:tcPr>
          <w:p>
            <w:pPr/>
            <w:r>
              <w:t xml:space="preserve">Cost rises about 26 times (R-025); AI touching this data needs BAA providers (D-017)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D-052 Payment ownership</w:t>
            </w:r>
          </w:p>
        </w:tc>
        <w:tc>
          <w:tcPr>
            <w:tcW w:w="1872" w:type="dxa"/>
          </w:tcPr>
          <w:p>
            <w:pPr/>
            <w:r>
              <w:t xml:space="preserve">Timely and Stripe could both charge clients</w:t>
            </w:r>
          </w:p>
        </w:tc>
        <w:tc>
          <w:tcPr>
            <w:tcW w:w="1872" w:type="dxa"/>
          </w:tcPr>
          <w:p>
            <w:pPr/>
            <w:r>
              <w:t xml:space="preserve">Timely only; Stripe only; split</w:t>
            </w:r>
          </w:p>
        </w:tc>
        <w:tc>
          <w:tcPr>
            <w:tcW w:w="1872" w:type="dxa"/>
          </w:tcPr>
          <w:p>
            <w:pPr/>
            <w:r>
              <w:t xml:space="preserve">Split: Timely for appointments and packages, Stripe for digital products and subscriptions</w:t>
            </w:r>
          </w:p>
        </w:tc>
        <w:tc>
          <w:tcPr>
            <w:tcW w:w="1872" w:type="dxa"/>
          </w:tcPr>
          <w:p>
            <w:pPr/>
            <w:r>
              <w:t xml:space="preserve">One Stripe customer per client mapped in My TAB; webhooks required</w:t>
            </w:r>
          </w:p>
        </w:tc>
      </w:tr>
    </w:tbl>
    <w:p>
      <w:pPr>
        <w:pStyle w:val="Heading3"/>
      </w:pPr>
      <w:r>
        <w:t xml:space="preserve">Open architecture questions</w:t>
      </w:r>
    </w:p>
    <w:p>
      <w:pPr/>
      <w:r>
        <w:t xml:space="preserve">These need an owner answer before they become decisions; none should be resolved in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Recommendation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Blocks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A-01</w:t>
            </w:r>
          </w:p>
        </w:tc>
        <w:tc>
          <w:tcPr>
            <w:tcW w:w="2340" w:type="dxa"/>
          </w:tcPr>
          <w:p>
            <w:pPr/>
            <w:r>
              <w:t xml:space="preserve">Gate HIPAA-tier spend (about $1,300 per month) on legal review?</w:t>
            </w:r>
          </w:p>
        </w:tc>
        <w:tc>
          <w:tcPr>
            <w:tcW w:w="2340" w:type="dxa"/>
          </w:tcPr>
          <w:p>
            <w:pPr/>
            <w:r>
              <w:t xml:space="preserve">Yes. Keep the design; buy the tier only when counsel confirms and Phase 2 data features go live</w:t>
            </w:r>
          </w:p>
        </w:tc>
        <w:tc>
          <w:tcPr>
            <w:tcW w:w="2340" w:type="dxa"/>
          </w:tcPr>
          <w:p>
            <w:pPr/>
            <w:r>
              <w:t xml:space="preserve">Phase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A-02</w:t>
            </w:r>
          </w:p>
        </w:tc>
        <w:tc>
          <w:tcPr>
            <w:tcW w:w="2340" w:type="dxa"/>
          </w:tcPr>
          <w:p>
            <w:pPr/>
            <w:r>
              <w:t xml:space="preserve">Wire Payload before or after Phase 1 launch?</w:t>
            </w:r>
          </w:p>
        </w:tc>
        <w:tc>
          <w:tcPr>
            <w:tcW w:w="2340" w:type="dxa"/>
          </w:tcPr>
          <w:p>
            <w:pPr/>
            <w:r>
              <w:t xml:space="preserve">After. Launch on content files; wire Payload when a non-developer needs to edit</w:t>
            </w:r>
          </w:p>
        </w:tc>
        <w:tc>
          <w:tcPr>
            <w:tcW w:w="2340" w:type="dxa"/>
          </w:tcPr>
          <w:p>
            <w:pPr/>
            <w:r>
              <w:t xml:space="preserve">Content editing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A-03</w:t>
            </w:r>
          </w:p>
        </w:tc>
        <w:tc>
          <w:tcPr>
            <w:tcW w:w="2340" w:type="dxa"/>
          </w:tcPr>
          <w:p>
            <w:pPr/>
            <w:r>
              <w:t xml:space="preserve">Keep Cloudflare and Bunny Stream from D-005?</w:t>
            </w:r>
          </w:p>
        </w:tc>
        <w:tc>
          <w:tcPr>
            <w:tcW w:w="2340" w:type="dxa"/>
          </w:tcPr>
          <w:p>
            <w:pPr/>
            <w:r>
              <w:t xml:space="preserve">Drop Cloudflare for now; defer Bunny Stream until program video exists</w:t>
            </w:r>
          </w:p>
        </w:tc>
        <w:tc>
          <w:tcPr>
            <w:tcW w:w="2340" w:type="dxa"/>
          </w:tcPr>
          <w:p>
            <w:pPr/>
            <w:r>
              <w:t xml:space="preserve">Amends D-005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A-04</w:t>
            </w:r>
          </w:p>
        </w:tc>
        <w:tc>
          <w:tcPr>
            <w:tcW w:w="2340" w:type="dxa"/>
          </w:tcPr>
          <w:p>
            <w:pPr/>
            <w:r>
              <w:t xml:space="preserve">Start form: email only, or persist submissions?</w:t>
            </w:r>
          </w:p>
        </w:tc>
        <w:tc>
          <w:tcPr>
            <w:tcW w:w="2340" w:type="dxa"/>
          </w:tcPr>
          <w:p>
            <w:pPr/>
            <w:r>
              <w:t xml:space="preserve">Email only for Phase 1; route intake into My TAB when it launches</w:t>
            </w:r>
          </w:p>
        </w:tc>
        <w:tc>
          <w:tcPr>
            <w:tcW w:w="2340" w:type="dxa"/>
          </w:tcPr>
          <w:p>
            <w:pPr/>
            <w:r>
              <w:t xml:space="preserve">D-042 boundary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A-05</w:t>
            </w:r>
          </w:p>
        </w:tc>
        <w:tc>
          <w:tcPr>
            <w:tcW w:w="2340" w:type="dxa"/>
          </w:tcPr>
          <w:p>
            <w:pPr/>
            <w:r>
              <w:t xml:space="preserve">Audit sensitive reads, not just writes?</w:t>
            </w:r>
          </w:p>
        </w:tc>
        <w:tc>
          <w:tcPr>
            <w:tcW w:w="2340" w:type="dxa"/>
          </w:tcPr>
          <w:p>
            <w:pPr/>
            <w:r>
              <w:t xml:space="preserve">Yes for practitioner notes and plans in Phase 2; confirm with counsel</w:t>
            </w:r>
          </w:p>
        </w:tc>
        <w:tc>
          <w:tcPr>
            <w:tcW w:w="2340" w:type="dxa"/>
          </w:tcPr>
          <w:p>
            <w:pPr/>
            <w:r>
              <w:t xml:space="preserve">Phase 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A-06</w:t>
            </w:r>
          </w:p>
        </w:tc>
        <w:tc>
          <w:tcPr>
            <w:tcW w:w="2340" w:type="dxa"/>
          </w:tcPr>
          <w:p>
            <w:pPr/>
            <w:r>
              <w:t xml:space="preserve">Monitoring and error tracking</w:t>
            </w:r>
          </w:p>
        </w:tc>
        <w:tc>
          <w:tcPr>
            <w:tcW w:w="2340" w:type="dxa"/>
          </w:tcPr>
          <w:p>
            <w:pPr/>
            <w:r>
              <w:t xml:space="preserve">Vercel logs plus Sentry with PII scrubbing; never capture portal request bodies</w:t>
            </w:r>
          </w:p>
        </w:tc>
        <w:tc>
          <w:tcPr>
            <w:tcW w:w="2340" w:type="dxa"/>
          </w:tcPr>
          <w:p>
            <w:pPr/>
            <w:r>
              <w:t xml:space="preserve">Launch</w:t>
            </w:r>
          </w:p>
        </w:tc>
      </w:tr>
    </w:tbl>
    <w:p>
      <w:pPr>
        <w:pStyle w:val="Heading2"/>
      </w:pPr>
      <w:r>
        <w:t xml:space="preserve">Risk register</w:t>
      </w:r>
    </w:p>
    <w:p>
      <w:pPr/>
      <w:r>
        <w:t xml:space="preserve">Twenty-eight risks; seven are rated high likelihood and high impact: R-002, R-010, R-012, R-016, R-017, R-024, and R-025.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Mitigation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Related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R-001</w:t>
            </w:r>
          </w:p>
        </w:tc>
        <w:tc>
          <w:tcPr>
            <w:tcW w:w="1337" w:type="dxa"/>
          </w:tcPr>
          <w:p>
            <w:pPr/>
            <w:r>
              <w:t xml:space="preserve">Brand work starts before strategy settles, forcing rework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Strategy gate before Brand</w:t>
            </w:r>
          </w:p>
        </w:tc>
        <w:tc>
          <w:tcPr>
            <w:tcW w:w="1337" w:type="dxa"/>
          </w:tcPr>
          <w:p>
            <w:pPr/>
            <w:r>
              <w:t xml:space="preserve">D-012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R-002</w:t>
            </w:r>
          </w:p>
        </w:tc>
        <w:tc>
          <w:tcPr>
            <w:tcW w:w="1337" w:type="dxa"/>
          </w:tcPr>
          <w:p>
            <w:pPr/>
            <w:r>
              <w:t xml:space="preserve">TAB Massage name and domain limit a national coaching brand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Brand architecture decision</w:t>
            </w:r>
          </w:p>
        </w:tc>
        <w:tc>
          <w:tcPr>
            <w:tcW w:w="1337" w:type="dxa"/>
          </w:tcPr>
          <w:p>
            <w:pPr/>
            <w:r>
              <w:t xml:space="preserve">D-012, D-021</w:t>
            </w:r>
          </w:p>
        </w:tc>
        <w:tc>
          <w:tcPr>
            <w:tcW w:w="1337" w:type="dxa"/>
          </w:tcPr>
          <w:p>
            <w:pPr/>
            <w:r>
              <w:t xml:space="preserve">Mitigating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R-003</w:t>
            </w:r>
          </w:p>
        </w:tc>
        <w:tc>
          <w:tcPr>
            <w:tcW w:w="1337" w:type="dxa"/>
          </w:tcPr>
          <w:p>
            <w:pPr/>
            <w:r>
              <w:t xml:space="preserve">1:1 coaching becomes the default offer, capping revenue by hours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Offer ladder with group and self-paced tiers</w:t>
            </w:r>
          </w:p>
        </w:tc>
        <w:tc>
          <w:tcPr>
            <w:tcW w:w="1337" w:type="dxa"/>
          </w:tcPr>
          <w:p>
            <w:pPr/>
            <w:r>
              <w:t xml:space="preserve">D-010</w:t>
            </w:r>
          </w:p>
        </w:tc>
        <w:tc>
          <w:tcPr>
            <w:tcW w:w="1337" w:type="dxa"/>
          </w:tcPr>
          <w:p>
            <w:pPr/>
            <w:r>
              <w:t xml:space="preserve">Mitigating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R-004</w:t>
            </w:r>
          </w:p>
        </w:tc>
        <w:tc>
          <w:tcPr>
            <w:tcW w:w="1337" w:type="dxa"/>
          </w:tcPr>
          <w:p>
            <w:pPr/>
            <w:r>
              <w:t xml:space="preserve">Health data leaks into owned systems or AI prompts; more likely under Step 16's portal design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HIPAA-eligible infrastructure with BAAs; RLS; audit logging; MFA; legal review; agent input limits</w:t>
            </w:r>
          </w:p>
        </w:tc>
        <w:tc>
          <w:tcPr>
            <w:tcW w:w="1337" w:type="dxa"/>
          </w:tcPr>
          <w:p>
            <w:pPr/>
            <w:r>
              <w:t xml:space="preserve">D-042, D-017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R-005</w:t>
            </w:r>
          </w:p>
        </w:tc>
        <w:tc>
          <w:tcPr>
            <w:tcW w:w="1337" w:type="dxa"/>
          </w:tcPr>
          <w:p>
            <w:pPr/>
            <w:r>
              <w:t xml:space="preserve">Owned code goes unmaintained, repeating the WordPress outcome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Automated updates, managed services, patch routine</w:t>
            </w:r>
          </w:p>
        </w:tc>
        <w:tc>
          <w:tcPr>
            <w:tcW w:w="1337" w:type="dxa"/>
          </w:tcPr>
          <w:p>
            <w:pPr/>
            <w:r>
              <w:t xml:space="preserve">D-005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R-006</w:t>
            </w:r>
          </w:p>
        </w:tc>
        <w:tc>
          <w:tcPr>
            <w:tcW w:w="1337" w:type="dxa"/>
          </w:tcPr>
          <w:p>
            <w:pPr/>
            <w:r>
              <w:t xml:space="preserve">Search ranking and local bookings drop at cutover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Redirect map (64 URLs, built); Google Business Profile update; Step 19 SEO checklist</w:t>
            </w:r>
          </w:p>
        </w:tc>
        <w:tc>
          <w:tcPr>
            <w:tcW w:w="1337" w:type="dxa"/>
          </w:tcPr>
          <w:p>
            <w:pPr/>
            <w:r>
              <w:t xml:space="preserve">D-040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R-007</w:t>
            </w:r>
          </w:p>
        </w:tc>
        <w:tc>
          <w:tcPr>
            <w:tcW w:w="1337" w:type="dxa"/>
          </w:tcPr>
          <w:p>
            <w:pPr/>
            <w:r>
              <w:t xml:space="preserve">Timely's integration ceiling limits the portal experience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Revisit platform with post-launch usage data</w:t>
            </w:r>
          </w:p>
        </w:tc>
        <w:tc>
          <w:tcPr>
            <w:tcW w:w="1337" w:type="dxa"/>
          </w:tcPr>
          <w:p>
            <w:pPr/>
            <w:r>
              <w:t xml:space="preserve">D-003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R-008</w:t>
            </w:r>
          </w:p>
        </w:tc>
        <w:tc>
          <w:tcPr>
            <w:tcW w:w="1337" w:type="dxa"/>
          </w:tcPr>
          <w:p>
            <w:pPr/>
            <w:r>
              <w:t xml:space="preserve">Six parallel workstreams cause scope creep and rework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Sequenced backlog; register updated every session</w:t>
            </w:r>
          </w:p>
        </w:tc>
        <w:tc>
          <w:tcPr>
            <w:tcW w:w="1337" w:type="dxa"/>
          </w:tcPr>
          <w:p>
            <w:pPr/>
            <w:r>
              <w:t xml:space="preserve">Program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R-009</w:t>
            </w:r>
          </w:p>
        </w:tc>
        <w:tc>
          <w:tcPr>
            <w:tcW w:w="1337" w:type="dxa"/>
          </w:tcPr>
          <w:p>
            <w:pPr/>
            <w:r>
              <w:t xml:space="preserve">Coaching demand is unproven: under 10 clients and 15% of revenue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Validate with a pilot cohort before building full programs</w:t>
            </w:r>
          </w:p>
        </w:tc>
        <w:tc>
          <w:tcPr>
            <w:tcW w:w="1337" w:type="dxa"/>
          </w:tcPr>
          <w:p>
            <w:pPr/>
            <w:r>
              <w:t xml:space="preserve">D-010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R-010</w:t>
            </w:r>
          </w:p>
        </w:tc>
        <w:tc>
          <w:tcPr>
            <w:tcW w:w="1337" w:type="dxa"/>
          </w:tcPr>
          <w:p>
            <w:pPr/>
            <w:r>
              <w:t xml:space="preserve">One practitioner delivers all virtual training and coaching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Self-service and async tiers; capped 1:1; codified method; coaching agents</w:t>
            </w:r>
          </w:p>
        </w:tc>
        <w:tc>
          <w:tcPr>
            <w:tcW w:w="1337" w:type="dxa"/>
          </w:tcPr>
          <w:p>
            <w:pPr/>
            <w:r>
              <w:t xml:space="preserve">D-010, D-017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R-011</w:t>
            </w:r>
          </w:p>
        </w:tc>
        <w:tc>
          <w:tcPr>
            <w:tcW w:w="1337" w:type="dxa"/>
          </w:tcPr>
          <w:p>
            <w:pPr/>
            <w:r>
              <w:t xml:space="preserve">Hormone coaching drifts into medical advice or unsupported claims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Step 15 language guardrails; Step 13 scope boundaries; clinician referral path; content review</w:t>
            </w:r>
          </w:p>
        </w:tc>
        <w:tc>
          <w:tcPr>
            <w:tcW w:w="1337" w:type="dxa"/>
          </w:tcPr>
          <w:p>
            <w:pPr/>
            <w:r>
              <w:t xml:space="preserve">D-032, D-017</w:t>
            </w:r>
          </w:p>
        </w:tc>
        <w:tc>
          <w:tcPr>
            <w:tcW w:w="1337" w:type="dxa"/>
          </w:tcPr>
          <w:p>
            <w:pPr/>
            <w:r>
              <w:t xml:space="preserve">Mitigating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R-012</w:t>
            </w:r>
          </w:p>
        </w:tc>
        <w:tc>
          <w:tcPr>
            <w:tcW w:w="1337" w:type="dxa"/>
          </w:tcPr>
          <w:p>
            <w:pPr/>
            <w:r>
              <w:t xml:space="preserve">Marketing to several segments at once dilutes focus and budget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Equal pillar weighting; track results by pillar and rebalance on evidence</w:t>
            </w:r>
          </w:p>
        </w:tc>
        <w:tc>
          <w:tcPr>
            <w:tcW w:w="1337" w:type="dxa"/>
          </w:tcPr>
          <w:p>
            <w:pPr/>
            <w:r>
              <w:t xml:space="preserve">D-049, D-050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R-013</w:t>
            </w:r>
          </w:p>
        </w:tc>
        <w:tc>
          <w:tcPr>
            <w:tcW w:w="1337" w:type="dxa"/>
          </w:tcPr>
          <w:p>
            <w:pPr/>
            <w:r>
              <w:t xml:space="preserve">Youth athletes are minors: consent, safeguarding, children's data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Segment deferred; guardian accounts and legal review if pursued</w:t>
            </w:r>
          </w:p>
        </w:tc>
        <w:tc>
          <w:tcPr>
            <w:tcW w:w="1337" w:type="dxa"/>
          </w:tcPr>
          <w:p>
            <w:pPr/>
            <w:r>
              <w:t xml:space="preserve">D-049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R-014</w:t>
            </w:r>
          </w:p>
        </w:tc>
        <w:tc>
          <w:tcPr>
            <w:tcW w:w="1337" w:type="dxa"/>
          </w:tcPr>
          <w:p>
            <w:pPr/>
            <w:r>
              <w:t xml:space="preserve">Unsupervised virtual training injures older or at-risk clients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Mandatory screening and medical clearance for virtual clients; waiver; insurance review</w:t>
            </w:r>
          </w:p>
        </w:tc>
        <w:tc>
          <w:tcPr>
            <w:tcW w:w="1337" w:type="dxa"/>
          </w:tcPr>
          <w:p>
            <w:pPr/>
            <w:r>
              <w:t xml:space="preserve">D-049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R-015</w:t>
            </w:r>
          </w:p>
        </w:tc>
        <w:tc>
          <w:tcPr>
            <w:tcW w:w="1337" w:type="dxa"/>
          </w:tcPr>
          <w:p>
            <w:pPr/>
            <w:r>
              <w:t xml:space="preserve">Client self-tracking puts health data in owned systems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Closed: D-042 permits self-tracking within sensitive-data controls</w:t>
            </w:r>
          </w:p>
        </w:tc>
        <w:tc>
          <w:tcPr>
            <w:tcW w:w="1337" w:type="dxa"/>
          </w:tcPr>
          <w:p>
            <w:pPr/>
            <w:r>
              <w:t xml:space="preserve">D-019, D-042</w:t>
            </w:r>
          </w:p>
        </w:tc>
        <w:tc>
          <w:tcPr>
            <w:tcW w:w="1337" w:type="dxa"/>
          </w:tcPr>
          <w:p>
            <w:pPr/>
            <w:r>
              <w:t xml:space="preserve">Closed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R-016</w:t>
            </w:r>
          </w:p>
        </w:tc>
        <w:tc>
          <w:tcPr>
            <w:tcW w:w="1337" w:type="dxa"/>
          </w:tcPr>
          <w:p>
            <w:pPr/>
            <w:r>
              <w:t xml:space="preserve">Content built from scratch by one practitioner puts content on the critical path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Minimum launch catalog; record the pilot cohort as program content; content agents</w:t>
            </w:r>
          </w:p>
        </w:tc>
        <w:tc>
          <w:tcPr>
            <w:tcW w:w="1337" w:type="dxa"/>
          </w:tcPr>
          <w:p>
            <w:pPr/>
            <w:r>
              <w:t xml:space="preserve">D-010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R-017</w:t>
            </w:r>
          </w:p>
        </w:tc>
        <w:tc>
          <w:tcPr>
            <w:tcW w:w="1337" w:type="dxa"/>
          </w:tcPr>
          <w:p>
            <w:pPr/>
            <w:r>
              <w:t xml:space="preserve">Year-one revenue is met through 1:1 alone and scalable tiers never get built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Year-one success requires cohort and self-paced launch plus list growth</w:t>
            </w:r>
          </w:p>
        </w:tc>
        <w:tc>
          <w:tcPr>
            <w:tcW w:w="1337" w:type="dxa"/>
          </w:tcPr>
          <w:p>
            <w:pPr/>
            <w:r>
              <w:t xml:space="preserve">D-011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R-018</w:t>
            </w:r>
          </w:p>
        </w:tc>
        <w:tc>
          <w:tcPr>
            <w:tcW w:w="1337" w:type="dxa"/>
          </w:tcPr>
          <w:p>
            <w:pPr/>
            <w:r>
              <w:t xml:space="preserve">Promoting coaching erodes the massage experience that funds the business</w:t>
            </w:r>
          </w:p>
        </w:tc>
        <w:tc>
          <w:tcPr>
            <w:tcW w:w="1337" w:type="dxa"/>
          </w:tcPr>
          <w:p>
            <w:pPr/>
            <w:r>
              <w:t xml:space="preserve">Low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Client-led conversation after treatment only; no pitching on the table</w:t>
            </w:r>
          </w:p>
        </w:tc>
        <w:tc>
          <w:tcPr>
            <w:tcW w:w="1337" w:type="dxa"/>
          </w:tcPr>
          <w:p>
            <w:pPr/>
            <w:r>
              <w:t xml:space="preserve">D-013, D-051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R-019</w:t>
            </w:r>
          </w:p>
        </w:tc>
        <w:tc>
          <w:tcPr>
            <w:tcW w:w="1337" w:type="dxa"/>
          </w:tcPr>
          <w:p>
            <w:pPr/>
            <w:r>
              <w:t xml:space="preserve">About 5 marketing hours a week can't sustain a content cadence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One pillar piece cut into many; batch filming; content agents prioritized</w:t>
            </w:r>
          </w:p>
        </w:tc>
        <w:tc>
          <w:tcPr>
            <w:tcW w:w="1337" w:type="dxa"/>
          </w:tcPr>
          <w:p>
            <w:pPr/>
            <w:r>
              <w:t xml:space="preserve">D-014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R-020</w:t>
            </w:r>
          </w:p>
        </w:tc>
        <w:tc>
          <w:tcPr>
            <w:tcW w:w="1337" w:type="dxa"/>
          </w:tcPr>
          <w:p>
            <w:pPr/>
            <w:r>
              <w:t xml:space="preserve">Other businesses use "TAB Wellness"; clearance could force changes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Trademark counsel before major spend; never use "TAB Wellness" as shorthand</w:t>
            </w:r>
          </w:p>
        </w:tc>
        <w:tc>
          <w:tcPr>
            <w:tcW w:w="1337" w:type="dxa"/>
          </w:tcPr>
          <w:p>
            <w:pPr/>
            <w:r>
              <w:t xml:space="preserve">D-020, D-038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R-021</w:t>
            </w:r>
          </w:p>
        </w:tc>
        <w:tc>
          <w:tcPr>
            <w:tcW w:w="1337" w:type="dxa"/>
          </w:tcPr>
          <w:p>
            <w:pPr/>
            <w:r>
              <w:t xml:space="preserve">Portal and operating model built for a team the business doesn't have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Model for a team, build for one</w:t>
            </w:r>
          </w:p>
        </w:tc>
        <w:tc>
          <w:tcPr>
            <w:tcW w:w="1337" w:type="dxa"/>
          </w:tcPr>
          <w:p>
            <w:pPr/>
            <w:r>
              <w:t xml:space="preserve">D-045</w:t>
            </w:r>
          </w:p>
        </w:tc>
        <w:tc>
          <w:tcPr>
            <w:tcW w:w="1337" w:type="dxa"/>
          </w:tcPr>
          <w:p>
            <w:pPr/>
            <w:r>
              <w:t xml:space="preserve">Mitigating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R-022</w:t>
            </w:r>
          </w:p>
        </w:tc>
        <w:tc>
          <w:tcPr>
            <w:tcW w:w="1337" w:type="dxa"/>
          </w:tcPr>
          <w:p>
            <w:pPr/>
            <w:r>
              <w:t xml:space="preserve">Visual identity exists only as raster images, not production-ready or registrable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Designer produces vector masters</w:t>
            </w:r>
          </w:p>
        </w:tc>
        <w:tc>
          <w:tcPr>
            <w:tcW w:w="1337" w:type="dxa"/>
          </w:tcPr>
          <w:p>
            <w:pPr/>
            <w:r>
              <w:t xml:space="preserve">D-027, D-039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R-023</w:t>
            </w:r>
          </w:p>
        </w:tc>
        <w:tc>
          <w:tcPr>
            <w:tcW w:w="1337" w:type="dxa"/>
          </w:tcPr>
          <w:p>
            <w:pPr/>
            <w:r>
              <w:t xml:space="preserve">Identity production spend before clearance is lost if the name must change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Start clearance now; limit spend to digital masters before print or signage</w:t>
            </w:r>
          </w:p>
        </w:tc>
        <w:tc>
          <w:tcPr>
            <w:tcW w:w="1337" w:type="dxa"/>
          </w:tcPr>
          <w:p>
            <w:pPr/>
            <w:r>
              <w:t xml:space="preserve">D-048, R-020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R-024</w:t>
            </w:r>
          </w:p>
        </w:tc>
        <w:tc>
          <w:tcPr>
            <w:tcW w:w="1337" w:type="dxa"/>
          </w:tcPr>
          <w:p>
            <w:pPr/>
            <w:r>
              <w:t xml:space="preserve">Portal Phase 2 scope delays the pilot cohort and year-one success measures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Prioritize cohort capability; keep a lightweight interim delivery path</w:t>
            </w:r>
          </w:p>
        </w:tc>
        <w:tc>
          <w:tcPr>
            <w:tcW w:w="1337" w:type="dxa"/>
          </w:tcPr>
          <w:p>
            <w:pPr/>
            <w:r>
              <w:t xml:space="preserve">D-042, D-043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R-025</w:t>
            </w:r>
          </w:p>
        </w:tc>
        <w:tc>
          <w:tcPr>
            <w:tcW w:w="1337" w:type="dxa"/>
          </w:tcPr>
          <w:p>
            <w:pPr/>
            <w:r>
              <w:t xml:space="preserve">HIPAA-eligible hosting raises platform cost from about $50 to $1,300+ per month, over 60% of year-one revenue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Legal review first; written quotes; subscribe only when sensitive-data features go live (A-01)</w:t>
            </w:r>
          </w:p>
        </w:tc>
        <w:tc>
          <w:tcPr>
            <w:tcW w:w="1337" w:type="dxa"/>
          </w:tcPr>
          <w:p>
            <w:pPr/>
            <w:r>
              <w:t xml:space="preserve">D-042, D-006</w:t>
            </w:r>
          </w:p>
        </w:tc>
        <w:tc>
          <w:tcPr>
            <w:tcW w:w="1337" w:type="dxa"/>
          </w:tcPr>
          <w:p>
            <w:pPr/>
            <w:r>
              <w:t xml:space="preserve">Open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R-026</w:t>
            </w:r>
          </w:p>
        </w:tc>
        <w:tc>
          <w:tcPr>
            <w:tcW w:w="1337" w:type="dxa"/>
          </w:tcPr>
          <w:p>
            <w:pPr/>
            <w:r>
              <w:t xml:space="preserve">Row-level security is written but untested; a gap could expose one client's data to another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Automated RLS tests before any real client data: cross-client reads and client access to practitioner notes</w:t>
            </w:r>
          </w:p>
        </w:tc>
        <w:tc>
          <w:tcPr>
            <w:tcW w:w="1337" w:type="dxa"/>
          </w:tcPr>
          <w:p>
            <w:pPr/>
            <w:r>
              <w:t xml:space="preserve">D-042, D-045</w:t>
            </w:r>
          </w:p>
        </w:tc>
        <w:tc>
          <w:tcPr>
            <w:tcW w:w="1337" w:type="dxa"/>
          </w:tcPr>
          <w:p>
            <w:pPr/>
            <w:r>
              <w:t xml:space="preserve">Pending register entry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R-027</w:t>
            </w:r>
          </w:p>
        </w:tc>
        <w:tc>
          <w:tcPr>
            <w:tcW w:w="1337" w:type="dxa"/>
          </w:tcPr>
          <w:p>
            <w:pPr/>
            <w:r>
              <w:t xml:space="preserve">Start form free text may route health details through email systems without a BAA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"No medical details" guidance; no personal data in subjects; move intake into My TAB in Phase 2 (A-04)</w:t>
            </w:r>
          </w:p>
        </w:tc>
        <w:tc>
          <w:tcPr>
            <w:tcW w:w="1337" w:type="dxa"/>
          </w:tcPr>
          <w:p>
            <w:pPr/>
            <w:r>
              <w:t xml:space="preserve">D-054, D-042</w:t>
            </w:r>
          </w:p>
        </w:tc>
        <w:tc>
          <w:tcPr>
            <w:tcW w:w="1337" w:type="dxa"/>
          </w:tcPr>
          <w:p>
            <w:pPr/>
            <w:r>
              <w:t xml:space="preserve">Pending register entry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R-028</w:t>
            </w:r>
          </w:p>
        </w:tc>
        <w:tc>
          <w:tcPr>
            <w:tcW w:w="1337" w:type="dxa"/>
          </w:tcPr>
          <w:p>
            <w:pPr/>
            <w:r>
              <w:t xml:space="preserve">Documentation drift: Step 16, the register, and the codebase diverge and mislead development</w:t>
            </w:r>
          </w:p>
        </w:tc>
        <w:tc>
          <w:tcPr>
            <w:tcW w:w="1337" w:type="dxa"/>
          </w:tcPr>
          <w:p>
            <w:pPr/>
            <w:r>
              <w:t xml:space="preserve">High</w:t>
            </w:r>
          </w:p>
        </w:tc>
        <w:tc>
          <w:tcPr>
            <w:tcW w:w="1337" w:type="dxa"/>
          </w:tcPr>
          <w:p>
            <w:pPr/>
            <w:r>
              <w:t xml:space="preserve">Medium</w:t>
            </w:r>
          </w:p>
        </w:tc>
        <w:tc>
          <w:tcPr>
            <w:tcW w:w="1337" w:type="dxa"/>
          </w:tcPr>
          <w:p>
            <w:pPr/>
            <w:r>
              <w:t xml:space="preserve">docs/ARCHITECTURE.md governs the build; changes go through the register; reconcile each session</w:t>
            </w:r>
          </w:p>
        </w:tc>
        <w:tc>
          <w:tcPr>
            <w:tcW w:w="1337" w:type="dxa"/>
          </w:tcPr>
          <w:p>
            <w:pPr/>
            <w:r>
              <w:t xml:space="preserve">D-041</w:t>
            </w:r>
          </w:p>
        </w:tc>
        <w:tc>
          <w:tcPr>
            <w:tcW w:w="1337" w:type="dxa"/>
          </w:tcPr>
          <w:p>
            <w:pPr/>
            <w:r>
              <w:t xml:space="preserve">Pending register entry</w:t>
            </w:r>
          </w:p>
        </w:tc>
      </w:tr>
    </w:tbl>
    <w:p>
      <w:pPr>
        <w:pStyle w:val="Heading2"/>
      </w:pPr>
      <w:r>
        <w:t xml:space="preserve">Discrepancies from the Steps 13 to 19 review</w:t>
      </w:r>
    </w:p>
    <w:p>
      <w:pPr/>
      <w:r>
        <w:t xml:space="preserve">All thirteen were resolved on 2026-09-27 through the </w:t>
      </w:r>
      <w:hyperlink r:id="rId4" w:history="1">
        <w:r>
          <w:rPr>
            <w:rStyle w:val="Hyperlink"/>
          </w:rPr>
          <w:t xml:space="preserve">review page</w:t>
        </w:r>
      </w:hyperlink>
      <w:r>
        <w:t xml:space="preserve">; each became the decision shown.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Discrepancy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Direction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Resolved by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X-01</w:t>
            </w:r>
          </w:p>
        </w:tc>
        <w:tc>
          <w:tcPr>
            <w:tcW w:w="1872" w:type="dxa"/>
          </w:tcPr>
          <w:p>
            <w:pPr/>
            <w:r>
              <w:t xml:space="preserve">My TAB stores health data</w:t>
            </w:r>
          </w:p>
        </w:tc>
        <w:tc>
          <w:tcPr>
            <w:tcW w:w="1872" w:type="dxa"/>
          </w:tcPr>
          <w:p>
            <w:pPr/>
            <w:r>
              <w:t xml:space="preserve">Critical</w:t>
            </w:r>
          </w:p>
        </w:tc>
        <w:tc>
          <w:tcPr>
            <w:tcW w:w="1872" w:type="dxa"/>
          </w:tcPr>
          <w:p>
            <w:pPr/>
            <w:r>
              <w:t xml:space="preserve">Sensitive-data system on HIPAA-eligible infrastructure</w:t>
            </w:r>
          </w:p>
        </w:tc>
        <w:tc>
          <w:tcPr>
            <w:tcW w:w="1872" w:type="dxa"/>
          </w:tcPr>
          <w:p>
            <w:pPr/>
            <w:r>
              <w:t xml:space="preserve">D-042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X-02</w:t>
            </w:r>
          </w:p>
        </w:tc>
        <w:tc>
          <w:tcPr>
            <w:tcW w:w="1872" w:type="dxa"/>
          </w:tcPr>
          <w:p>
            <w:pPr/>
            <w:r>
              <w:t xml:space="preserve">Virtual growth focus versus local practice</w:t>
            </w:r>
          </w:p>
        </w:tc>
        <w:tc>
          <w:tcPr>
            <w:tcW w:w="1872" w:type="dxa"/>
          </w:tcPr>
          <w:p>
            <w:pPr/>
            <w:r>
              <w:t xml:space="preserve">Critical</w:t>
            </w:r>
          </w:p>
        </w:tc>
        <w:tc>
          <w:tcPr>
            <w:tcW w:w="1872" w:type="dxa"/>
          </w:tcPr>
          <w:p>
            <w:pPr/>
            <w:r>
              <w:t xml:space="preserve">Both; digital programs and cohorts in portal Phase 2</w:t>
            </w:r>
          </w:p>
        </w:tc>
        <w:tc>
          <w:tcPr>
            <w:tcW w:w="1872" w:type="dxa"/>
          </w:tcPr>
          <w:p>
            <w:pPr/>
            <w:r>
              <w:t xml:space="preserve">D-043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X-03</w:t>
            </w:r>
          </w:p>
        </w:tc>
        <w:tc>
          <w:tcPr>
            <w:tcW w:w="1872" w:type="dxa"/>
          </w:tcPr>
          <w:p>
            <w:pPr/>
            <w:r>
              <w:t xml:space="preserve">Offer ladder versus practitioner-assigned programs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Both templates and packaged products</w:t>
            </w:r>
          </w:p>
        </w:tc>
        <w:tc>
          <w:tcPr>
            <w:tcW w:w="1872" w:type="dxa"/>
          </w:tcPr>
          <w:p>
            <w:pPr/>
            <w:r>
              <w:t xml:space="preserve">D-044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X-04</w:t>
            </w:r>
          </w:p>
        </w:tc>
        <w:tc>
          <w:tcPr>
            <w:tcW w:w="1872" w:type="dxa"/>
          </w:tcPr>
          <w:p>
            <w:pPr/>
            <w:r>
              <w:t xml:space="preserve">Operating model built for a team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Model for a team, build for one</w:t>
            </w:r>
          </w:p>
        </w:tc>
        <w:tc>
          <w:tcPr>
            <w:tcW w:w="1872" w:type="dxa"/>
          </w:tcPr>
          <w:p>
            <w:pPr/>
            <w:r>
              <w:t xml:space="preserve">D-045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X-05</w:t>
            </w:r>
          </w:p>
        </w:tc>
        <w:tc>
          <w:tcPr>
            <w:tcW w:w="1872" w:type="dxa"/>
          </w:tcPr>
          <w:p>
            <w:pPr/>
            <w:r>
              <w:t xml:space="preserve">Privacy-first analytics versus ad tracking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Plausible, plus pixels on public pages when ads start</w:t>
            </w:r>
          </w:p>
        </w:tc>
        <w:tc>
          <w:tcPr>
            <w:tcW w:w="1872" w:type="dxa"/>
          </w:tcPr>
          <w:p>
            <w:pPr/>
            <w:r>
              <w:t xml:space="preserve">D-046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X-06</w:t>
            </w:r>
          </w:p>
        </w:tc>
        <w:tc>
          <w:tcPr>
            <w:tcW w:w="1872" w:type="dxa"/>
          </w:tcPr>
          <w:p>
            <w:pPr/>
            <w:r>
              <w:t xml:space="preserve">Service icons break the avoid list</w:t>
            </w:r>
          </w:p>
        </w:tc>
        <w:tc>
          <w:tcPr>
            <w:tcW w:w="1872" w:type="dxa"/>
          </w:tcPr>
          <w:p>
            <w:pPr/>
            <w:r>
              <w:t xml:space="preserve">High</w:t>
            </w:r>
          </w:p>
        </w:tc>
        <w:tc>
          <w:tcPr>
            <w:tcW w:w="1872" w:type="dxa"/>
          </w:tcPr>
          <w:p>
            <w:pPr/>
            <w:r>
              <w:t xml:space="preserve">Avoid list amended</w:t>
            </w:r>
          </w:p>
        </w:tc>
        <w:tc>
          <w:tcPr>
            <w:tcW w:w="1872" w:type="dxa"/>
          </w:tcPr>
          <w:p>
            <w:pPr/>
            <w:r>
              <w:t xml:space="preserve">D-047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X-07</w:t>
            </w:r>
          </w:p>
        </w:tc>
        <w:tc>
          <w:tcPr>
            <w:tcW w:w="1872" w:type="dxa"/>
          </w:tcPr>
          <w:p>
            <w:pPr/>
            <w:r>
              <w:t xml:space="preserve">Visual identity before clearance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Production proceeds now</w:t>
            </w:r>
          </w:p>
        </w:tc>
        <w:tc>
          <w:tcPr>
            <w:tcW w:w="1872" w:type="dxa"/>
          </w:tcPr>
          <w:p>
            <w:pPr/>
            <w:r>
              <w:t xml:space="preserve">D-048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X-08</w:t>
            </w:r>
          </w:p>
        </w:tc>
        <w:tc>
          <w:tcPr>
            <w:tcW w:w="1872" w:type="dxa"/>
          </w:tcPr>
          <w:p>
            <w:pPr/>
            <w:r>
              <w:t xml:space="preserve">Brand name status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Remains Accepted</w:t>
            </w:r>
          </w:p>
        </w:tc>
        <w:tc>
          <w:tcPr>
            <w:tcW w:w="1872" w:type="dxa"/>
          </w:tcPr>
          <w:p>
            <w:pPr/>
            <w:r>
              <w:t xml:space="preserve">D-020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X-09</w:t>
            </w:r>
          </w:p>
        </w:tc>
        <w:tc>
          <w:tcPr>
            <w:tcW w:w="1872" w:type="dxa"/>
          </w:tcPr>
          <w:p>
            <w:pPr/>
            <w:r>
              <w:t xml:space="preserve">Older adults in scope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Fully in scope, virtual included</w:t>
            </w:r>
          </w:p>
        </w:tc>
        <w:tc>
          <w:tcPr>
            <w:tcW w:w="1872" w:type="dxa"/>
          </w:tcPr>
          <w:p>
            <w:pPr/>
            <w:r>
              <w:t xml:space="preserve">D-049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X-10</w:t>
            </w:r>
          </w:p>
        </w:tc>
        <w:tc>
          <w:tcPr>
            <w:tcW w:w="1872" w:type="dxa"/>
          </w:tcPr>
          <w:p>
            <w:pPr/>
            <w:r>
              <w:t xml:space="preserve">Marketing weight</w:t>
            </w:r>
          </w:p>
        </w:tc>
        <w:tc>
          <w:tcPr>
            <w:tcW w:w="1872" w:type="dxa"/>
          </w:tcPr>
          <w:p>
            <w:pPr/>
            <w:r>
              <w:t xml:space="preserve">Medium</w:t>
            </w:r>
          </w:p>
        </w:tc>
        <w:tc>
          <w:tcPr>
            <w:tcW w:w="1872" w:type="dxa"/>
          </w:tcPr>
          <w:p>
            <w:pPr/>
            <w:r>
              <w:t xml:space="preserve">All four pillars equal</w:t>
            </w:r>
          </w:p>
        </w:tc>
        <w:tc>
          <w:tcPr>
            <w:tcW w:w="1872" w:type="dxa"/>
          </w:tcPr>
          <w:p>
            <w:pPr/>
            <w:r>
              <w:t xml:space="preserve">D-050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X-11</w:t>
            </w:r>
          </w:p>
        </w:tc>
        <w:tc>
          <w:tcPr>
            <w:tcW w:w="1872" w:type="dxa"/>
          </w:tcPr>
          <w:p>
            <w:pPr/>
            <w:r>
              <w:t xml:space="preserve">Bridge versus cross-service protocol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Bridge under the protocol</w:t>
            </w:r>
          </w:p>
        </w:tc>
        <w:tc>
          <w:tcPr>
            <w:tcW w:w="1872" w:type="dxa"/>
          </w:tcPr>
          <w:p>
            <w:pPr/>
            <w:r>
              <w:t xml:space="preserve">D-051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X-12</w:t>
            </w:r>
          </w:p>
        </w:tc>
        <w:tc>
          <w:tcPr>
            <w:tcW w:w="1872" w:type="dxa"/>
          </w:tcPr>
          <w:p>
            <w:pPr/>
            <w:r>
              <w:t xml:space="preserve">Two sources of truth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Playbook for reference, register for decisions</w:t>
            </w:r>
          </w:p>
        </w:tc>
        <w:tc>
          <w:tcPr>
            <w:tcW w:w="1872" w:type="dxa"/>
          </w:tcPr>
          <w:p>
            <w:pPr/>
            <w:r>
              <w:t xml:space="preserve">D-041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X-13</w:t>
            </w:r>
          </w:p>
        </w:tc>
        <w:tc>
          <w:tcPr>
            <w:tcW w:w="1872" w:type="dxa"/>
          </w:tcPr>
          <w:p>
            <w:pPr/>
            <w:r>
              <w:t xml:space="preserve">Timely versus direct Stripe payments</w:t>
            </w:r>
          </w:p>
        </w:tc>
        <w:tc>
          <w:tcPr>
            <w:tcW w:w="1872" w:type="dxa"/>
          </w:tcPr>
          <w:p>
            <w:pPr/>
            <w:r>
              <w:t xml:space="preserve">Low</w:t>
            </w:r>
          </w:p>
        </w:tc>
        <w:tc>
          <w:tcPr>
            <w:tcW w:w="1872" w:type="dxa"/>
          </w:tcPr>
          <w:p>
            <w:pPr/>
            <w:r>
              <w:t xml:space="preserve">Split ownership</w:t>
            </w:r>
          </w:p>
        </w:tc>
        <w:tc>
          <w:tcPr>
            <w:tcW w:w="1872" w:type="dxa"/>
          </w:tcPr>
          <w:p>
            <w:pPr/>
            <w:r>
              <w:t xml:space="preserve">D-052</w:t>
            </w:r>
          </w:p>
        </w:tc>
      </w:tr>
    </w:tbl>
    <w:p>
      <w:pPr/>
      <w:r>
        <w:t xml:space="preserve">The pattern across these answers was scope expansion while constraints held flat: one practitioner, about 5 marketing hours a week, and a $25,000 year-one target. R-024 and R-025 track the consequences.</w:t>
      </w:r>
    </w:p>
    <w:p>
      <w:pPr>
        <w:pStyle w:val="Heading2"/>
      </w:pPr>
      <w:r>
        <w:t xml:space="preserve">Document and artifact inventory</w:t>
      </w:r>
    </w:p>
    <w:p>
      <w:pPr/>
      <w:r>
        <w:t xml:space="preserve">Every program document, where it lives, and what it's authoritative for.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Document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Authoritative for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TAB Decision and Risk Register</w:t>
            </w:r>
          </w:p>
        </w:tc>
        <w:tc>
          <w:tcPr>
            <w:tcW w:w="2340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Claude Doc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Decisions and risks (system of record)</w:t>
            </w:r>
          </w:p>
        </w:tc>
        <w:tc>
          <w:tcPr>
            <w:tcW w:w="2340" w:type="dxa"/>
          </w:tcPr>
          <w:p>
            <w:pPr/>
            <w:r>
              <w:t xml:space="preserve">Active; needs D-053 to D-055 and R-026 to R-028 added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This master record</w:t>
            </w:r>
          </w:p>
        </w:tc>
        <w:tc>
          <w:tcPr>
            <w:tcW w:w="2340" w:type="dxa"/>
          </w:tcPr>
          <w:p>
            <w:pPr/>
            <w:r>
              <w:t xml:space="preserve">This doc</w:t>
            </w:r>
          </w:p>
        </w:tc>
        <w:tc>
          <w:tcPr>
            <w:tcW w:w="2340" w:type="dxa"/>
          </w:tcPr>
          <w:p>
            <w:pPr/>
            <w:r>
              <w:t xml:space="preserve">Consolidated read-through</w:t>
            </w:r>
          </w:p>
        </w:tc>
        <w:tc>
          <w:tcPr>
            <w:tcW w:w="234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Brand Foundation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Promise, mission, voice, values, positioning (D-024)</w:t>
            </w:r>
          </w:p>
        </w:tc>
        <w:tc>
          <w:tcPr>
            <w:tcW w:w="2340" w:type="dxa"/>
          </w:tcPr>
          <w:p>
            <w:pPr/>
            <w:r>
              <w:t xml:space="preserve">Adopted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13 Service Pillars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Pillar definitions and scope (D-028)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14 TAB Method and Customer Journey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Method, journey, operating model (D-029 to D-031)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15 Messaging Architecture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Headlines, CTAs, language guardrails (D-032)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16 Website and Digital Experience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Strategy for site and My TAB (D-033 to D-035)</w:t>
            </w:r>
          </w:p>
        </w:tc>
        <w:tc>
          <w:tcPr>
            <w:tcW w:w="2340" w:type="dxa"/>
          </w:tcPr>
          <w:p>
            <w:pPr/>
            <w:r>
              <w:t xml:space="preserve">Accepted; technical detail superseded by ARCHITECTURE.md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17 Naming Validation v2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Naming rules, clearance plan (D-038)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18 Visual Identity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Identity direction (D-039, D-047)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 19 Rebrand Transition Plan v2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Cutover phases and communications (D-040)</w:t>
            </w:r>
          </w:p>
        </w:tc>
        <w:tc>
          <w:tcPr>
            <w:tcW w:w="2340" w:type="dxa"/>
          </w:tcPr>
          <w:p>
            <w:pPr/>
            <w:r>
              <w:t xml:space="preserve">Accepted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Design Tokens (JSON and CSS)</w:t>
            </w:r>
          </w:p>
        </w:tc>
        <w:tc>
          <w:tcPr>
            <w:tcW w:w="2340" w:type="dxa"/>
          </w:tcPr>
          <w:p>
            <w:pPr/>
            <w:r>
              <w:t xml:space="preserve">Project files</w:t>
            </w:r>
          </w:p>
        </w:tc>
        <w:tc>
          <w:tcPr>
            <w:tcW w:w="2340" w:type="dxa"/>
          </w:tcPr>
          <w:p>
            <w:pPr/>
            <w:r>
              <w:t xml:space="preserve">Canonical colors, type, spacing (D-053)</w:t>
            </w:r>
          </w:p>
        </w:tc>
        <w:tc>
          <w:tcPr>
            <w:tcW w:w="234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Steps 13 to 19 review page</w:t>
            </w:r>
          </w:p>
        </w:tc>
        <w:tc>
          <w:tcPr>
            <w:tcW w:w="23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Artifact</w:t>
              </w:r>
            </w:hyperlink>
          </w:p>
        </w:tc>
        <w:tc>
          <w:tcPr>
            <w:tcW w:w="2340" w:type="dxa"/>
          </w:tcPr>
          <w:p>
            <w:pPr/>
            <w:r>
              <w:t xml:space="preserve">Owner direction on X-01 to X-13</w:t>
            </w:r>
          </w:p>
        </w:tc>
        <w:tc>
          <w:tcPr>
            <w:tcW w:w="2340" w:type="dxa"/>
          </w:tcPr>
          <w:p>
            <w:pPr/>
            <w:r>
              <w:t xml:space="preserve">Closed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Codebase </w:t>
            </w:r>
            <w:r>
              <w:rPr>
                <w:rStyle w:val="CodeChar"/>
              </w:rPr>
              <w:t xml:space="preserve">tab-wellness-collective</w:t>
            </w:r>
          </w:p>
        </w:tc>
        <w:tc>
          <w:tcPr>
            <w:tcW w:w="2340" w:type="dxa"/>
          </w:tcPr>
          <w:p>
            <w:pPr/>
            <w:r>
              <w:t xml:space="preserve">Zip handoff</w:t>
            </w:r>
          </w:p>
        </w:tc>
        <w:tc>
          <w:tcPr>
            <w:tcW w:w="2340" w:type="dxa"/>
          </w:tcPr>
          <w:p>
            <w:pPr/>
            <w:r>
              <w:t xml:space="preserve">Phase 1 site, Phase 2 foundation</w:t>
            </w:r>
          </w:p>
        </w:tc>
        <w:tc>
          <w:tcPr>
            <w:tcW w:w="2340" w:type="dxa"/>
          </w:tcPr>
          <w:p>
            <w:pPr/>
            <w:r>
              <w:t xml:space="preserve">Builds clean; not deployed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CLAUDE.md</w:t>
            </w:r>
          </w:p>
        </w:tc>
        <w:tc>
          <w:tcPr>
            <w:tcW w:w="2340" w:type="dxa"/>
          </w:tcPr>
          <w:p>
            <w:pPr/>
            <w:r>
              <w:t xml:space="preserve">Codebase</w:t>
            </w:r>
          </w:p>
        </w:tc>
        <w:tc>
          <w:tcPr>
            <w:tcW w:w="2340" w:type="dxa"/>
          </w:tcPr>
          <w:p>
            <w:pPr/>
            <w:r>
              <w:t xml:space="preserve">Guardrails for Claude Code</w:t>
            </w:r>
          </w:p>
        </w:tc>
        <w:tc>
          <w:tcPr>
            <w:tcW w:w="234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docs/ARCHITECTURE.md</w:t>
            </w:r>
          </w:p>
        </w:tc>
        <w:tc>
          <w:tcPr>
            <w:tcW w:w="2340" w:type="dxa"/>
          </w:tcPr>
          <w:p>
            <w:pPr/>
            <w:r>
              <w:t xml:space="preserve">Codebase</w:t>
            </w:r>
          </w:p>
        </w:tc>
        <w:tc>
          <w:tcPr>
            <w:tcW w:w="2340" w:type="dxa"/>
          </w:tcPr>
          <w:p>
            <w:pPr/>
            <w:r>
              <w:t xml:space="preserve">Technical architecture (governs the build)</w:t>
            </w:r>
          </w:p>
        </w:tc>
        <w:tc>
          <w:tcPr>
            <w:tcW w:w="234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docs/HANDOFF.md</w:t>
            </w:r>
          </w:p>
        </w:tc>
        <w:tc>
          <w:tcPr>
            <w:tcW w:w="2340" w:type="dxa"/>
          </w:tcPr>
          <w:p>
            <w:pPr/>
            <w:r>
              <w:t xml:space="preserve">Codebase</w:t>
            </w:r>
          </w:p>
        </w:tc>
        <w:tc>
          <w:tcPr>
            <w:tcW w:w="2340" w:type="dxa"/>
          </w:tcPr>
          <w:p>
            <w:pPr/>
            <w:r>
              <w:t xml:space="preserve">Build status, launch checklist, Phase 2 sequence</w:t>
            </w:r>
          </w:p>
        </w:tc>
        <w:tc>
          <w:tcPr>
            <w:tcW w:w="2340" w:type="dxa"/>
          </w:tcPr>
          <w:p>
            <w:pPr/>
            <w:r>
              <w:t xml:space="preserve">Active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supabase/migrations/0001_my_tab.sql</w:t>
            </w:r>
          </w:p>
        </w:tc>
        <w:tc>
          <w:tcPr>
            <w:tcW w:w="2340" w:type="dxa"/>
          </w:tcPr>
          <w:p>
            <w:pPr/>
            <w:r>
              <w:t xml:space="preserve">Codebase</w:t>
            </w:r>
          </w:p>
        </w:tc>
        <w:tc>
          <w:tcPr>
            <w:tcW w:w="2340" w:type="dxa"/>
          </w:tcPr>
          <w:p>
            <w:pPr/>
            <w:r>
              <w:t xml:space="preserve">Data model, RLS, audit</w:t>
            </w:r>
          </w:p>
        </w:tc>
        <w:tc>
          <w:tcPr>
            <w:tcW w:w="2340" w:type="dxa"/>
          </w:tcPr>
          <w:p>
            <w:pPr/>
            <w:r>
              <w:t xml:space="preserve">Written; untested (R-026)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Architecture Plan (September 25)</w:t>
            </w:r>
          </w:p>
        </w:tc>
        <w:tc>
          <w:tcPr>
            <w:tcW w:w="2340" w:type="dxa"/>
          </w:tcPr>
          <w:p>
            <w:pPr/>
            <w:r>
              <w:t xml:space="preserve">Claude Doc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  <w:tc>
          <w:tcPr>
            <w:tcW w:w="2340" w:type="dxa"/>
          </w:tcPr>
          <w:p>
            <w:pPr/>
            <w:r>
              <w:t xml:space="preserve">Retired (D-041)</w:t>
            </w:r>
          </w:p>
        </w:tc>
      </w:tr>
    </w:tbl>
    <w:p>
      <w:pPr>
        <w:pStyle w:val="Heading2"/>
      </w:pPr>
      <w:r>
        <w:t xml:space="preserve">Open items, in order</w:t>
      </w:r>
    </w:p>
    <w:p>
      <w:pPr/>
      <w:r>
        <w:t xml:space="preserve">Two owner decisions come first; everything after them is sequenced so nothing starts before what it depends on.</w:t>
      </w:r>
    </w:p>
    <w:p>
      <w:pPr/>
      <w:r>
        <w:rPr>
          <w:b/>
        </w:rPr>
        <w:t xml:space="preserve">Owner decisions</w:t>
      </w:r>
    </w:p>
    <w:p>
      <w:pPr>
        <w:pStyle w:val="ListParagraph"/>
        <w:numPr>
          <w:ilvl w:val="0"/>
          <w:numId w:val="8"/>
        </w:numPr>
      </w:pPr>
      <w:r>
        <w:t xml:space="preserve">☐ A-01: gate HIPAA-tier spend on legal review (blocks Phase 2)</w:t>
      </w:r>
    </w:p>
    <w:p>
      <w:pPr>
        <w:pStyle w:val="ListParagraph"/>
        <w:numPr>
          <w:ilvl w:val="0"/>
          <w:numId w:val="8"/>
        </w:numPr>
      </w:pPr>
      <w:r>
        <w:t xml:space="preserve">☐ A-03: keep or drop Cloudflare and Bunny Stream (amends D-005)</w:t>
      </w:r>
    </w:p>
    <w:p>
      <w:pPr>
        <w:pStyle w:val="ListParagraph"/>
        <w:numPr>
          <w:ilvl w:val="0"/>
          <w:numId w:val="8"/>
        </w:numPr>
      </w:pPr>
      <w:r>
        <w:t xml:space="preserve">☐ Log D-053 to D-055 and R-026 to R-028 in the register</w:t>
      </w:r>
    </w:p>
    <w:p>
      <w:pPr>
        <w:pStyle w:val="ListParagraph"/>
        <w:numPr>
          <w:ilvl w:val="0"/>
          <w:numId w:val="8"/>
        </w:numPr>
      </w:pPr>
      <w:r>
        <w:t xml:space="preserve">☐ Formal review of baselined decisions D-010, D-011, D-013, D-014, D-015</w:t>
      </w:r>
    </w:p>
    <w:p>
      <w:pPr/>
      <w:r>
        <w:rPr>
          <w:b/>
        </w:rPr>
        <w:t xml:space="preserve">Carried over from the register</w:t>
      </w:r>
    </w:p>
    <w:p>
      <w:pPr>
        <w:pStyle w:val="ListParagraph"/>
        <w:numPr>
          <w:ilvl w:val="0"/>
          <w:numId w:val="9"/>
        </w:numPr>
      </w:pPr>
      <w:r>
        <w:t xml:space="preserve">☐ Clearance for TAB Wellness Collective: USPTO search, Michigan business registry, social handles (R-020, R-023)</w:t>
      </w:r>
    </w:p>
    <w:p>
      <w:pPr>
        <w:pStyle w:val="ListParagraph"/>
        <w:numPr>
          <w:ilvl w:val="0"/>
          <w:numId w:val="9"/>
        </w:numPr>
      </w:pPr>
      <w:r>
        <w:t xml:space="preserve">☐ Register tabwellnesscollective.com once clearance passes</w:t>
      </w:r>
    </w:p>
    <w:p>
      <w:pPr>
        <w:pStyle w:val="ListParagraph"/>
        <w:numPr>
          <w:ilvl w:val="0"/>
          <w:numId w:val="9"/>
        </w:numPr>
      </w:pPr>
      <w:r>
        <w:t xml:space="preserve">☐ Compliance review of consumer health-data obligations (feeds A-01)</w:t>
      </w:r>
    </w:p>
    <w:p>
      <w:pPr>
        <w:pStyle w:val="ListParagraph"/>
        <w:numPr>
          <w:ilvl w:val="0"/>
          <w:numId w:val="9"/>
        </w:numPr>
      </w:pPr>
      <w:r>
        <w:t xml:space="preserve">☐ Ask Timely support about partner API, booking deep links, widget styling, intake data protections</w:t>
      </w:r>
    </w:p>
    <w:p>
      <w:pPr>
        <w:pStyle w:val="ListParagraph"/>
        <w:numPr>
          <w:ilvl w:val="0"/>
          <w:numId w:val="9"/>
        </w:numPr>
      </w:pPr>
      <w:r>
        <w:t xml:space="preserve">☐ Confirm current Vercel, Supabase, and Timely pricing</w:t>
      </w:r>
    </w:p>
    <w:p>
      <w:pPr>
        <w:pStyle w:val="ListParagraph"/>
        <w:numPr>
          <w:ilvl w:val="0"/>
          <w:numId w:val="9"/>
        </w:numPr>
      </w:pPr>
      <w:r>
        <w:t xml:space="preserve">☐ Consent audit: count marketing opt-ins in Timely; start collecting opt-ins at check-in</w:t>
      </w:r>
    </w:p>
    <w:p>
      <w:pPr>
        <w:pStyle w:val="ListParagraph"/>
        <w:numPr>
          <w:ilvl w:val="0"/>
          <w:numId w:val="9"/>
        </w:numPr>
      </w:pPr>
      <w:r>
        <w:t xml:space="preserve">☐ Confirm total active massage clients to size the warm pipeline</w:t>
      </w:r>
    </w:p>
    <w:p>
      <w:pPr>
        <w:pStyle w:val="ListParagraph"/>
        <w:numPr>
          <w:ilvl w:val="0"/>
          <w:numId w:val="9"/>
        </w:numPr>
      </w:pPr>
      <w:r>
        <w:t xml:space="preserve">☐ Hand the logo and visual identity brief to the external designer</w:t>
      </w:r>
    </w:p>
    <w:p>
      <w:pPr/>
      <w:r>
        <w:rPr>
          <w:b/>
        </w:rPr>
        <w:t xml:space="preserve">Program backlog (from the register)</w:t>
      </w:r>
    </w:p>
    <w:p>
      <w:pPr>
        <w:pStyle w:val="ListParagraph"/>
        <w:numPr>
          <w:ilvl w:val="0"/>
          <w:numId w:val="10"/>
        </w:numPr>
      </w:pPr>
      <w:r>
        <w:t xml:space="preserve">☐ Program architecture: redefine the offer ladder within the four pillars (D-010, D-044)</w:t>
      </w:r>
    </w:p>
    <w:p>
      <w:pPr>
        <w:pStyle w:val="ListParagraph"/>
        <w:numPr>
          <w:ilvl w:val="0"/>
          <w:numId w:val="10"/>
        </w:numPr>
      </w:pPr>
      <w:r>
        <w:t xml:space="preserve">☐ Personas for launch segments</w:t>
      </w:r>
    </w:p>
    <w:p>
      <w:pPr>
        <w:pStyle w:val="ListParagraph"/>
        <w:numPr>
          <w:ilvl w:val="0"/>
          <w:numId w:val="10"/>
        </w:numPr>
      </w:pPr>
      <w:r>
        <w:t xml:space="preserve">☐ Photography direction and presence kit (waits on logo files)</w:t>
      </w:r>
    </w:p>
    <w:p>
      <w:pPr>
        <w:pStyle w:val="ListParagraph"/>
        <w:numPr>
          <w:ilvl w:val="0"/>
          <w:numId w:val="10"/>
        </w:numPr>
      </w:pPr>
      <w:r>
        <w:t xml:space="preserve">☐ Coaching agent data boundary (D-017)</w:t>
      </w:r>
    </w:p>
    <w:p>
      <w:pPr/>
      <w:r>
        <w:rPr>
          <w:b/>
        </w:rPr>
        <w:t xml:space="preserve">Build, Phase 1 launch</w:t>
      </w:r>
    </w:p>
    <w:p>
      <w:pPr>
        <w:pStyle w:val="ListParagraph"/>
        <w:numPr>
          <w:ilvl w:val="0"/>
          <w:numId w:val="11"/>
        </w:numPr>
      </w:pPr>
      <w:r>
        <w:t xml:space="preserve">☐ Fill </w:t>
      </w:r>
      <w:r>
        <w:rPr>
          <w:rStyle w:val="CodeChar"/>
        </w:rPr>
        <w:t xml:space="preserve">config/site.ts</w:t>
      </w:r>
      <w:r>
        <w:t xml:space="preserve">: Timely URLs, phone, address, hours, logo and icon files</w:t>
      </w:r>
    </w:p>
    <w:p>
      <w:pPr>
        <w:pStyle w:val="ListParagraph"/>
        <w:numPr>
          <w:ilvl w:val="0"/>
          <w:numId w:val="11"/>
        </w:numPr>
      </w:pPr>
      <w:r>
        <w:t xml:space="preserve">☐ Replace draft copy (18 items), including bio, story, service FAQs, legal pages</w:t>
      </w:r>
    </w:p>
    <w:p>
      <w:pPr>
        <w:pStyle w:val="ListParagraph"/>
        <w:numPr>
          <w:ilvl w:val="0"/>
          <w:numId w:val="11"/>
        </w:numPr>
      </w:pPr>
      <w:r>
        <w:t xml:space="preserve">☐ Verify the sending domain in Resend; set Plausible; turn draft flags off</w:t>
      </w:r>
    </w:p>
    <w:p>
      <w:pPr>
        <w:pStyle w:val="ListParagraph"/>
        <w:numPr>
          <w:ilvl w:val="0"/>
          <w:numId w:val="11"/>
        </w:numPr>
      </w:pPr>
      <w:r>
        <w:t xml:space="preserve">☐ Add a Content-Security-Policy; run accessibility and Lighthouse passes</w:t>
      </w:r>
    </w:p>
    <w:p>
      <w:pPr>
        <w:pStyle w:val="ListParagraph"/>
        <w:numPr>
          <w:ilvl w:val="0"/>
          <w:numId w:val="11"/>
        </w:numPr>
      </w:pPr>
      <w:r>
        <w:t xml:space="preserve">☐ Cutover per Step 19: DNS to Vercel, confirm redirects, update Google Business Profile</w:t>
      </w:r>
    </w:p>
    <w:p>
      <w:pPr/>
      <w:r>
        <w:rPr>
          <w:b/>
        </w:rPr>
        <w:t xml:space="preserve">Build, Phase 2 (after A-01)</w:t>
      </w:r>
    </w:p>
    <w:p>
      <w:pPr>
        <w:pStyle w:val="ListParagraph"/>
        <w:numPr>
          <w:ilvl w:val="0"/>
          <w:numId w:val="12"/>
        </w:numPr>
      </w:pPr>
      <w:r>
        <w:t xml:space="preserve">☐ Create the Supabase project and write RLS tests before any real data (R-026)</w:t>
      </w:r>
    </w:p>
    <w:p>
      <w:pPr>
        <w:pStyle w:val="ListParagraph"/>
        <w:numPr>
          <w:ilvl w:val="0"/>
          <w:numId w:val="12"/>
        </w:numPr>
      </w:pPr>
      <w:r>
        <w:t xml:space="preserve">☐ Finish Supabase data mappings and server actions</w:t>
      </w:r>
    </w:p>
    <w:p>
      <w:pPr>
        <w:pStyle w:val="ListParagraph"/>
        <w:numPr>
          <w:ilvl w:val="0"/>
          <w:numId w:val="12"/>
        </w:numPr>
      </w:pPr>
      <w:r>
        <w:t xml:space="preserve">☐ Stripe checkout and webhooks for sellable programs</w:t>
      </w:r>
    </w:p>
    <w:p>
      <w:pPr>
        <w:pStyle w:val="ListParagraph"/>
        <w:numPr>
          <w:ilvl w:val="0"/>
          <w:numId w:val="12"/>
        </w:numPr>
      </w:pPr>
      <w:r>
        <w:t xml:space="preserve">☐ Wire Payload CMS (A-02)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ode/artifact/5e150ace-5714-4dfa-b1f2-985f69afdd61" TargetMode="External"/><Relationship Id="rId4" Type="http://schemas.openxmlformats.org/officeDocument/2006/relationships/hyperlink" Target="https://claude.ai/artifact/2qY14n27Mz9iHbNx7g1bU4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 Wellness Collective — Master Decision, Risk &amp; Architecture Record</dc:title>
  <dc:description>Claude Docs node/057959a2-18fd@13 docx-w6</dc:description>
  <cp:revision>13</cp:revision>
</cp:coreProperties>
</file>