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jc w:val="center"/>
      </w:pPr>
      <w:r>
        <w:t>TAB WELLNESS COLLECTIVE</w:t>
      </w:r>
    </w:p>
    <w:p>
      <w:pPr>
        <w:pStyle w:val="Title"/>
        <w:jc w:val="center"/>
      </w:pPr>
      <w:r>
        <w:t>Step 19 — Rebrand Transition &amp; Launch Plan</w:t>
      </w:r>
    </w:p>
    <w:p>
      <w:pPr>
        <w:jc w:val="center"/>
      </w:pPr>
      <w:r>
        <w:rPr>
          <w:rFonts w:ascii="Georgia" w:hAnsi="Georgia"/>
          <w:i/>
          <w:color w:val="5A6046"/>
          <w:sz w:val="26"/>
        </w:rPr>
        <w:t>TAB Massage &amp; Fitness → TAB Wellness Collective</w:t>
      </w:r>
    </w:p>
    <w:p/>
    <w:tbl>
      <w:tblPr>
        <w:tblW w:type="auto" w:w="0"/>
        <w:jc w:val="center"/>
        <w:tblLook w:firstColumn="1" w:firstRow="1" w:lastColumn="0" w:lastRow="0" w:noHBand="0" w:noVBand="1" w:val="04A0"/>
      </w:tblPr>
      <w:tblGrid>
        <w:gridCol w:w="10166"/>
      </w:tblGrid>
      <w:tr>
        <w:tc>
          <w:tcPr>
            <w:tcW w:type="dxa" w:w="10166"/>
            <w:shd w:fill="F3EFE7"/>
            <w:tcBorders>
              <w:top w:val="single" w:sz="8" w:color="C0784C"/>
              <w:left w:val="single" w:sz="8" w:color="C0784C"/>
              <w:bottom w:val="single" w:sz="8" w:color="C0784C"/>
              <w:right w:val="single" w:sz="8" w:color="C0784C"/>
            </w:tcBorders>
          </w:tcPr>
          <w:p>
            <w:pPr>
              <w:pStyle w:val="CalloutTitle"/>
            </w:pPr>
            <w:r>
              <w:t>Transition objective</w:t>
            </w:r>
          </w:p>
          <w:p>
            <w:pPr>
              <w:spacing w:after="0" w:line="252" w:lineRule="auto"/>
            </w:pPr>
            <w:r>
              <w:t>Make the rebrand feel like an intentional evolution of the TAB clients already know — preserving trust, history, bookings, payments, referrals, search equity and client continuity while introducing the broader whole-person brand.</w:t>
            </w:r>
          </w:p>
        </w:tc>
      </w:tr>
    </w:tbl>
    <w:p/>
    <w:p>
      <w:pPr>
        <w:pStyle w:val="Quote"/>
        <w:jc w:val="center"/>
      </w:pPr>
      <w:r>
        <w:t>A new visitor should understand TAB Wellness Collective immediately, while an existing TAB Massage &amp; Fitness client should experience the change as familiar, intentional and seamless.</w:t>
      </w:r>
    </w:p>
    <w:p>
      <w:r>
        <w:br w:type="page"/>
      </w:r>
    </w:p>
    <w:p>
      <w:pPr>
        <w:pStyle w:val="Heading1"/>
      </w:pPr>
      <w:r>
        <w:t>Executive Summary</w:t>
      </w:r>
    </w:p>
    <w:p>
      <w:r>
        <w:t>Step 19 operationalizes the rebrand across every client-facing and internal touchpoint. The plan uses a phased migration so that the new brand can launch cleanly without sacrificing the digital and relationship equity accumulated under TAB Massage &amp; Fitness.</w:t>
      </w:r>
    </w:p>
    <w:p>
      <w:pPr>
        <w:pStyle w:val="Heading2"/>
      </w:pPr>
      <w:r>
        <w:t>The five-phase transition model</w:t>
      </w:r>
    </w:p>
    <w:tbl>
      <w:tblPr>
        <w:tblStyle w:val="TableGrid"/>
        <w:tblW w:type="auto" w:w="0"/>
        <w:jc w:val="center"/>
        <w:tblLook w:firstColumn="1" w:firstRow="1" w:lastColumn="0" w:lastRow="0" w:noHBand="0" w:noVBand="1" w:val="04A0"/>
      </w:tblPr>
      <w:tblGrid>
        <w:gridCol w:w="3389"/>
        <w:gridCol w:w="3389"/>
        <w:gridCol w:w="3389"/>
      </w:tblGrid>
      <w:tr>
        <w:tc>
          <w:tcPr>
            <w:tcW w:type="dxa" w:w="2448"/>
            <w:vAlign w:val="center"/>
            <w:shd w:fill="5A6046"/>
            <w:tcBorders>
              <w:top w:val="single" w:sz="4" w:color="5A6046"/>
              <w:left w:val="single" w:sz="4" w:color="5A6046"/>
              <w:bottom w:val="single" w:sz="4" w:color="5A6046"/>
              <w:right w:val="single" w:sz="4" w:color="5A6046"/>
            </w:tcBorders>
          </w:tcPr>
          <w:p>
            <w:pPr>
              <w:spacing w:after="0"/>
            </w:pPr>
            <w:r/>
            <w:r>
              <w:rPr>
                <w:rFonts w:ascii="Aptos" w:hAnsi="Aptos"/>
                <w:b/>
                <w:color w:val="FFFFFF"/>
                <w:sz w:val="16"/>
              </w:rPr>
              <w:t>Phase</w:t>
            </w:r>
          </w:p>
        </w:tc>
        <w:tc>
          <w:tcPr>
            <w:tcW w:type="dxa" w:w="5904"/>
            <w:vAlign w:val="center"/>
            <w:shd w:fill="5A6046"/>
            <w:tcBorders>
              <w:top w:val="single" w:sz="4" w:color="5A6046"/>
              <w:left w:val="single" w:sz="4" w:color="5A6046"/>
              <w:bottom w:val="single" w:sz="4" w:color="5A6046"/>
              <w:right w:val="single" w:sz="4" w:color="5A6046"/>
            </w:tcBorders>
          </w:tcPr>
          <w:p>
            <w:pPr>
              <w:spacing w:after="0"/>
            </w:pPr>
            <w:r/>
            <w:r>
              <w:rPr>
                <w:rFonts w:ascii="Aptos" w:hAnsi="Aptos"/>
                <w:b/>
                <w:color w:val="FFFFFF"/>
                <w:sz w:val="16"/>
              </w:rPr>
              <w:t>Purpose</w:t>
            </w:r>
          </w:p>
        </w:tc>
        <w:tc>
          <w:tcPr>
            <w:tcW w:type="dxa" w:w="2304"/>
            <w:vAlign w:val="center"/>
            <w:shd w:fill="5A6046"/>
            <w:tcBorders>
              <w:top w:val="single" w:sz="4" w:color="5A6046"/>
              <w:left w:val="single" w:sz="4" w:color="5A6046"/>
              <w:bottom w:val="single" w:sz="4" w:color="5A6046"/>
              <w:right w:val="single" w:sz="4" w:color="5A6046"/>
            </w:tcBorders>
          </w:tcPr>
          <w:p>
            <w:pPr>
              <w:spacing w:after="0"/>
            </w:pPr>
            <w:r/>
            <w:r>
              <w:rPr>
                <w:rFonts w:ascii="Aptos" w:hAnsi="Aptos"/>
                <w:b/>
                <w:color w:val="FFFFFF"/>
                <w:sz w:val="16"/>
              </w:rPr>
              <w:t>Typical timing</w:t>
            </w:r>
          </w:p>
        </w:tc>
      </w:tr>
      <w:tr>
        <w:tc>
          <w:tcPr>
            <w:tcW w:type="dxa" w:w="2448"/>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0 — Clearance &amp; Ownership</w:t>
            </w:r>
          </w:p>
        </w:tc>
        <w:tc>
          <w:tcPr>
            <w:tcW w:type="dxa" w:w="5904"/>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Complete naming/legal checks, secure domains/handles, inventory systems and confirm account control.</w:t>
            </w:r>
          </w:p>
        </w:tc>
        <w:tc>
          <w:tcPr>
            <w:tcW w:type="dxa" w:w="2304"/>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Before irreversible spend</w:t>
            </w:r>
          </w:p>
        </w:tc>
      </w:tr>
      <w:tr>
        <w:tc>
          <w:tcPr>
            <w:tcW w:type="dxa" w:w="2448"/>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1 — Build Behind the Scenes</w:t>
            </w:r>
          </w:p>
        </w:tc>
        <w:tc>
          <w:tcPr>
            <w:tcW w:type="dxa" w:w="5904"/>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Prepare website, systems, forms, collateral, redirects and communications without public cutover.</w:t>
            </w:r>
          </w:p>
        </w:tc>
        <w:tc>
          <w:tcPr>
            <w:tcW w:type="dxa" w:w="2304"/>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T-8 to T-4 weeks</w:t>
            </w:r>
          </w:p>
        </w:tc>
      </w:tr>
      <w:tr>
        <w:tc>
          <w:tcPr>
            <w:tcW w:type="dxa" w:w="2448"/>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2 — Pre-Launch Communication</w:t>
            </w:r>
          </w:p>
        </w:tc>
        <w:tc>
          <w:tcPr>
            <w:tcW w:type="dxa" w:w="5904"/>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Prepare clients, partners and team before they encounter the new identity.</w:t>
            </w:r>
          </w:p>
        </w:tc>
        <w:tc>
          <w:tcPr>
            <w:tcW w:type="dxa" w:w="2304"/>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T-3 to T-1 weeks</w:t>
            </w:r>
          </w:p>
        </w:tc>
      </w:tr>
      <w:tr>
        <w:tc>
          <w:tcPr>
            <w:tcW w:type="dxa" w:w="2448"/>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3 — Launch / Cutover</w:t>
            </w:r>
          </w:p>
        </w:tc>
        <w:tc>
          <w:tcPr>
            <w:tcW w:type="dxa" w:w="5904"/>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Coordinate website, Google, Timely, Stripe, email, social, signage and internal changes.</w:t>
            </w:r>
          </w:p>
        </w:tc>
        <w:tc>
          <w:tcPr>
            <w:tcW w:type="dxa" w:w="2304"/>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Launch day</w:t>
            </w:r>
          </w:p>
        </w:tc>
      </w:tr>
      <w:tr>
        <w:tc>
          <w:tcPr>
            <w:tcW w:type="dxa" w:w="2448"/>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4–5 — Transition to Steady State</w:t>
            </w:r>
          </w:p>
        </w:tc>
        <w:tc>
          <w:tcPr>
            <w:tcW w:type="dxa" w:w="5904"/>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Monitor, reduce confusion, preserve legacy pathways and gradually retire “formerly” language.</w:t>
            </w:r>
          </w:p>
        </w:tc>
        <w:tc>
          <w:tcPr>
            <w:tcW w:type="dxa" w:w="2304"/>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Launch to +6 months</w:t>
            </w:r>
          </w:p>
        </w:tc>
      </w:tr>
    </w:tbl>
    <w:p>
      <w:pPr>
        <w:spacing w:after="0"/>
      </w:pPr>
    </w:p>
    <w:tbl>
      <w:tblPr>
        <w:tblW w:type="auto" w:w="0"/>
        <w:jc w:val="center"/>
        <w:tblLook w:firstColumn="1" w:firstRow="1" w:lastColumn="0" w:lastRow="0" w:noHBand="0" w:noVBand="1" w:val="04A0"/>
      </w:tblPr>
      <w:tblGrid>
        <w:gridCol w:w="10166"/>
      </w:tblGrid>
      <w:tr>
        <w:tc>
          <w:tcPr>
            <w:tcW w:type="dxa" w:w="10166"/>
            <w:shd w:fill="EEF3EB"/>
            <w:tcBorders>
              <w:top w:val="single" w:sz="8" w:color="5A6046"/>
              <w:left w:val="single" w:sz="8" w:color="5A6046"/>
              <w:bottom w:val="single" w:sz="8" w:color="5A6046"/>
              <w:right w:val="single" w:sz="8" w:color="5A6046"/>
            </w:tcBorders>
          </w:tcPr>
          <w:p>
            <w:pPr>
              <w:pStyle w:val="CalloutTitle"/>
            </w:pPr>
            <w:r>
              <w:t>Governing principle</w:t>
            </w:r>
          </w:p>
          <w:p>
            <w:pPr>
              <w:spacing w:after="0" w:line="252" w:lineRule="auto"/>
            </w:pPr>
            <w:r>
              <w:t>Preserve legacy equity through redirects, aliases, continuity messaging and retained account history. Do not delete or recreate assets that can be migrated in place.</w:t>
            </w:r>
          </w:p>
        </w:tc>
      </w:tr>
    </w:tbl>
    <w:p>
      <w:pPr>
        <w:pStyle w:val="Heading1"/>
      </w:pPr>
      <w:r>
        <w:t>19.1 — Rebrand Transition Strategy</w:t>
      </w:r>
    </w:p>
    <w:p>
      <w:pPr>
        <w:pStyle w:val="Heading2"/>
      </w:pPr>
      <w:r>
        <w:t>The transition story</w:t>
      </w:r>
    </w:p>
    <w:p>
      <w:pPr>
        <w:pStyle w:val="Quote"/>
      </w:pPr>
      <w:r>
        <w:t>TAB Massage &amp; Fitness is becoming TAB Wellness Collective.</w:t>
      </w:r>
    </w:p>
    <w:p>
      <w:r>
        <w:t>The public explanation should stay simple: the name is evolving to better reflect the broader, whole-person approach TAB provides today — Massage &amp; Bodywork, Personal Strength Training, Women’s Wellness Coaching and Holistic Life Coaching.</w:t>
      </w:r>
    </w:p>
    <w:p>
      <w:pPr>
        <w:pStyle w:val="Quote"/>
      </w:pPr>
      <w:r>
        <w:t>Same commitment. Broader expression of what TAB has become.</w:t>
      </w:r>
    </w:p>
    <w:p>
      <w:pPr>
        <w:pStyle w:val="Heading2"/>
      </w:pPr>
      <w:r>
        <w:t>Transition naming standard</w:t>
      </w:r>
    </w:p>
    <w:p>
      <w:pPr>
        <w:pStyle w:val="ListBullet"/>
        <w:spacing w:after="50"/>
      </w:pPr>
      <w:r>
        <w:t>Permanent brand: TAB Wellness Collective.</w:t>
      </w:r>
    </w:p>
    <w:p>
      <w:pPr>
        <w:pStyle w:val="ListBullet"/>
        <w:spacing w:after="50"/>
      </w:pPr>
      <w:r>
        <w:t>Philosophy: Transform. Align. Become.</w:t>
      </w:r>
    </w:p>
    <w:p>
      <w:pPr>
        <w:pStyle w:val="ListBullet"/>
        <w:spacing w:after="50"/>
      </w:pPr>
      <w:r>
        <w:t>Temporary transition phrase: “formerly TAB Massage &amp; Fitness.”</w:t>
      </w:r>
    </w:p>
    <w:p>
      <w:pPr>
        <w:pStyle w:val="ListBullet"/>
        <w:spacing w:after="50"/>
      </w:pPr>
      <w:r>
        <w:t>Do not place “formerly…” inside the permanent logo or wordmark.</w:t>
      </w:r>
    </w:p>
    <w:p>
      <w:pPr>
        <w:pStyle w:val="ListBullet"/>
        <w:spacing w:after="50"/>
      </w:pPr>
      <w:r>
        <w:t>Use the transition phrase selectively for approximately 90–180 days where recognition matters.</w:t>
      </w:r>
    </w:p>
    <w:p>
      <w:pPr>
        <w:pStyle w:val="Heading1"/>
      </w:pPr>
      <w:r>
        <w:t>19.2 — Detailed Transition Phases</w:t>
      </w:r>
    </w:p>
    <w:p>
      <w:pPr>
        <w:pStyle w:val="Heading2"/>
      </w:pPr>
      <w:r>
        <w:t>Phase 0 — Clearance &amp; Ownership</w:t>
      </w:r>
    </w:p>
    <w:p>
      <w:pPr>
        <w:pStyle w:val="ListBullet"/>
        <w:spacing w:after="50"/>
      </w:pPr>
      <w:r>
        <w:t>Complete formal trademark clearance and Michigan entity/assumed-name work.</w:t>
      </w:r>
    </w:p>
    <w:p>
      <w:pPr>
        <w:pStyle w:val="ListBullet"/>
        <w:spacing w:after="50"/>
      </w:pPr>
      <w:r>
        <w:t>Secure the primary domain and relevant defensive domains.</w:t>
      </w:r>
    </w:p>
    <w:p>
      <w:pPr>
        <w:pStyle w:val="ListBullet"/>
        <w:spacing w:after="50"/>
      </w:pPr>
      <w:r>
        <w:t>Reserve preferred social handles.</w:t>
      </w:r>
    </w:p>
    <w:p>
      <w:pPr>
        <w:pStyle w:val="ListBullet"/>
        <w:spacing w:after="50"/>
      </w:pPr>
      <w:r>
        <w:t>Confirm administrative access to website/DNS, Google Business Profile, Search Console, Analytics, Timely, Stripe, email and social accounts.</w:t>
      </w:r>
    </w:p>
    <w:p>
      <w:pPr>
        <w:pStyle w:val="ListBullet"/>
        <w:spacing w:after="50"/>
      </w:pPr>
      <w:r>
        <w:t>Inventory all current brand touchpoints, vendor accounts, printed materials and recurring templates.</w:t>
      </w:r>
    </w:p>
    <w:p>
      <w:pPr>
        <w:pStyle w:val="ListBullet"/>
        <w:spacing w:after="50"/>
      </w:pPr>
      <w:r>
        <w:t>Preserve current website analytics, search performance, page inventory and backlink data.</w:t>
      </w:r>
    </w:p>
    <w:tbl>
      <w:tblPr>
        <w:tblW w:type="auto" w:w="0"/>
        <w:jc w:val="center"/>
        <w:tblLook w:firstColumn="1" w:firstRow="1" w:lastColumn="0" w:lastRow="0" w:noHBand="0" w:noVBand="1" w:val="04A0"/>
      </w:tblPr>
      <w:tblGrid>
        <w:gridCol w:w="10166"/>
      </w:tblGrid>
      <w:tr>
        <w:tc>
          <w:tcPr>
            <w:tcW w:type="dxa" w:w="10166"/>
            <w:shd w:fill="F8ECE9"/>
            <w:tcBorders>
              <w:top w:val="single" w:sz="8" w:color="A64B43"/>
              <w:left w:val="single" w:sz="8" w:color="A64B43"/>
              <w:bottom w:val="single" w:sz="8" w:color="A64B43"/>
              <w:right w:val="single" w:sz="8" w:color="A64B43"/>
            </w:tcBorders>
          </w:tcPr>
          <w:p>
            <w:pPr>
              <w:pStyle w:val="CalloutTitle"/>
            </w:pPr>
            <w:r>
              <w:t>Go / no-go gate</w:t>
            </w:r>
          </w:p>
          <w:p>
            <w:pPr>
              <w:spacing w:after="0" w:line="252" w:lineRule="auto"/>
            </w:pPr>
            <w:r>
              <w:t>Do not order permanent exterior signage or destroy legacy digital assets until naming clearance is resolved and critical account access is confirmed.</w:t>
            </w:r>
          </w:p>
        </w:tc>
      </w:tr>
    </w:tbl>
    <w:p>
      <w:pPr>
        <w:pStyle w:val="Heading2"/>
      </w:pPr>
      <w:r>
        <w:t>Phase 1 — Build Behind the Scenes</w:t>
      </w:r>
    </w:p>
    <w:p>
      <w:pPr>
        <w:pStyle w:val="ListBullet"/>
        <w:spacing w:after="50"/>
      </w:pPr>
      <w:r>
        <w:t>Build and QA the new public website on the new domain.</w:t>
      </w:r>
    </w:p>
    <w:p>
      <w:pPr>
        <w:pStyle w:val="ListBullet"/>
        <w:spacing w:after="50"/>
      </w:pPr>
      <w:r>
        <w:t>Prepare My TAB architecture or a clear interim Client Login experience.</w:t>
      </w:r>
    </w:p>
    <w:p>
      <w:pPr>
        <w:pStyle w:val="ListBullet"/>
        <w:spacing w:after="50"/>
      </w:pPr>
      <w:r>
        <w:t>Configure new email aliases/addresses while preserving old ones.</w:t>
      </w:r>
    </w:p>
    <w:p>
      <w:pPr>
        <w:pStyle w:val="ListBullet"/>
        <w:spacing w:after="50"/>
      </w:pPr>
      <w:r>
        <w:t>Prepare Timely branding and booking-link changes.</w:t>
      </w:r>
    </w:p>
    <w:p>
      <w:pPr>
        <w:pStyle w:val="ListBullet"/>
        <w:spacing w:after="50"/>
      </w:pPr>
      <w:r>
        <w:t>Prepare Stripe customer-facing naming, receipts and portal branding.</w:t>
      </w:r>
    </w:p>
    <w:p>
      <w:pPr>
        <w:pStyle w:val="ListBullet"/>
        <w:spacing w:after="50"/>
      </w:pPr>
      <w:r>
        <w:t>Stage Google Business Profile assets and text.</w:t>
      </w:r>
    </w:p>
    <w:p>
      <w:pPr>
        <w:pStyle w:val="ListBullet"/>
        <w:spacing w:after="50"/>
      </w:pPr>
      <w:r>
        <w:t>Prepare social profile art, bios and launch posts.</w:t>
      </w:r>
    </w:p>
    <w:p>
      <w:pPr>
        <w:pStyle w:val="ListBullet"/>
        <w:spacing w:after="50"/>
      </w:pPr>
      <w:r>
        <w:t>Order signage and printed collateral.</w:t>
      </w:r>
    </w:p>
    <w:p>
      <w:pPr>
        <w:pStyle w:val="ListBullet"/>
        <w:spacing w:after="50"/>
      </w:pPr>
      <w:r>
        <w:t>Update forms, consent materials, client-facing PDFs and templates.</w:t>
      </w:r>
    </w:p>
    <w:p>
      <w:pPr>
        <w:pStyle w:val="ListBullet"/>
        <w:spacing w:after="50"/>
      </w:pPr>
      <w:r>
        <w:t>Build the old-to-new URL redirect map and SEO migration plan.</w:t>
      </w:r>
    </w:p>
    <w:p>
      <w:pPr>
        <w:pStyle w:val="ListBullet"/>
        <w:spacing w:after="50"/>
      </w:pPr>
      <w:r>
        <w:t>Prepare staff scripts and client/partner communications.</w:t>
      </w:r>
    </w:p>
    <w:p>
      <w:pPr>
        <w:pStyle w:val="Heading2"/>
      </w:pPr>
      <w:r>
        <w:t>Phase 2 — Pre-Launch Communication</w:t>
      </w:r>
    </w:p>
    <w:p>
      <w:r>
        <w:t>Begin communicating approximately 2–3 weeks before launch. Existing clients should never encounter the new brand unexpectedly.</w:t>
      </w:r>
    </w:p>
    <w:p>
      <w:pPr>
        <w:pStyle w:val="ListBullet"/>
        <w:spacing w:after="50"/>
      </w:pPr>
      <w:r>
        <w:t>Explain what is changing: name, visual identity, website and expanded expression of services.</w:t>
      </w:r>
    </w:p>
    <w:p>
      <w:pPr>
        <w:pStyle w:val="ListBullet"/>
        <w:spacing w:after="50"/>
      </w:pPr>
      <w:r>
        <w:t>Explain why: the new brand better represents TAB’s whole-person approach.</w:t>
      </w:r>
    </w:p>
    <w:p>
      <w:pPr>
        <w:pStyle w:val="ListBullet"/>
        <w:spacing w:after="50"/>
      </w:pPr>
      <w:r>
        <w:t>Explain what is not changing: appointments, practitioners, client history, relationships and commitment to personalized care.</w:t>
      </w:r>
    </w:p>
    <w:p>
      <w:pPr>
        <w:pStyle w:val="ListBullet"/>
        <w:spacing w:after="50"/>
      </w:pPr>
      <w:r>
        <w:t>Clarify that clients should not need to take action unless specifically notified.</w:t>
      </w:r>
    </w:p>
    <w:p>
      <w:pPr>
        <w:pStyle w:val="ListBullet"/>
        <w:spacing w:after="50"/>
      </w:pPr>
      <w:r>
        <w:t>Introduce “Transform. Align. Become.” and the four service pillars.</w:t>
      </w:r>
    </w:p>
    <w:p>
      <w:pPr>
        <w:pStyle w:val="Heading2"/>
      </w:pPr>
      <w:r>
        <w:t>Phase 3 — Launch / Cutover</w:t>
      </w:r>
    </w:p>
    <w:p>
      <w:pPr>
        <w:pStyle w:val="ListBullet"/>
        <w:spacing w:after="50"/>
      </w:pPr>
      <w:r>
        <w:t>Make TAB Wellness Collective the public name across the website, signage and key digital profiles.</w:t>
      </w:r>
    </w:p>
    <w:p>
      <w:pPr>
        <w:pStyle w:val="ListBullet"/>
        <w:spacing w:after="50"/>
      </w:pPr>
      <w:r>
        <w:t>Publish the new website and enable permanent redirects from legacy URLs.</w:t>
      </w:r>
    </w:p>
    <w:p>
      <w:pPr>
        <w:pStyle w:val="ListBullet"/>
        <w:spacing w:after="50"/>
      </w:pPr>
      <w:r>
        <w:t>Update Timely business name, branding, location details, links and templates.</w:t>
      </w:r>
    </w:p>
    <w:p>
      <w:pPr>
        <w:pStyle w:val="ListBullet"/>
        <w:spacing w:after="50"/>
      </w:pPr>
      <w:r>
        <w:t>Update Stripe customer-facing branding, support details, receipt/invoice context and statement descriptor if required.</w:t>
      </w:r>
    </w:p>
    <w:p>
      <w:pPr>
        <w:pStyle w:val="ListBullet"/>
        <w:spacing w:after="50"/>
      </w:pPr>
      <w:r>
        <w:t>Update email signatures and activate the new-domain addresses/aliases.</w:t>
      </w:r>
    </w:p>
    <w:p>
      <w:pPr>
        <w:pStyle w:val="ListBullet"/>
        <w:spacing w:after="50"/>
      </w:pPr>
      <w:r>
        <w:t>Update Google Business Profile once the public website/signage supports the new real-world identity.</w:t>
      </w:r>
    </w:p>
    <w:p>
      <w:pPr>
        <w:pStyle w:val="ListBullet"/>
        <w:spacing w:after="50"/>
      </w:pPr>
      <w:r>
        <w:t>Update social display names, handles, artwork, bios and links.</w:t>
      </w:r>
    </w:p>
    <w:p>
      <w:pPr>
        <w:pStyle w:val="ListBullet"/>
        <w:spacing w:after="50"/>
      </w:pPr>
      <w:r>
        <w:t>Notify partners and publish the launch announcement.</w:t>
      </w:r>
    </w:p>
    <w:p>
      <w:pPr>
        <w:pStyle w:val="ListBullet"/>
        <w:spacing w:after="50"/>
      </w:pPr>
      <w:r>
        <w:t>Run end-to-end smoke testing on booking, forms, email and payment paths.</w:t>
      </w:r>
    </w:p>
    <w:p>
      <w:pPr>
        <w:pStyle w:val="Heading2"/>
      </w:pPr>
      <w:r>
        <w:t>Phase 4 — Transition Period</w:t>
      </w:r>
    </w:p>
    <w:p>
      <w:r>
        <w:t>For roughly the first 90 days, use “TAB Wellness Collective — formerly TAB Massage &amp; Fitness” where it materially reduces confusion. Monitor search, booking and client behavior closely.</w:t>
      </w:r>
    </w:p>
    <w:p>
      <w:pPr>
        <w:pStyle w:val="Heading2"/>
      </w:pPr>
      <w:r>
        <w:t>Phase 5 — Steady State</w:t>
      </w:r>
    </w:p>
    <w:p>
      <w:r>
        <w:t>At roughly +3 to +6 months, TAB Wellness Collective should stand on its own. Legacy naming remains only where historically or operationally useful — redirects, old email aliases, the Our Story narrative and legal records.</w:t>
      </w:r>
    </w:p>
    <w:p>
      <w:r>
        <w:br w:type="page"/>
      </w:r>
    </w:p>
    <w:p>
      <w:pPr>
        <w:pStyle w:val="Heading1"/>
      </w:pPr>
      <w:r>
        <w:t>19.3 — Website &amp; Domain Migration</w:t>
      </w:r>
    </w:p>
    <w:p>
      <w:r>
        <w:t>The domain migration is a major equity-preservation activity. The goal is to move to the new brand domain without throwing away the history and referral traffic attached to tabmassage.com.</w:t>
      </w:r>
    </w:p>
    <w:p>
      <w:pPr>
        <w:pStyle w:val="Heading2"/>
      </w:pPr>
      <w:r>
        <w:t>Domain strategy</w:t>
      </w:r>
    </w:p>
    <w:p>
      <w:pPr>
        <w:pStyle w:val="ListBullet"/>
        <w:spacing w:after="50"/>
      </w:pPr>
      <w:r>
        <w:t>Primary destination: tabwellnesscollective.com, subject to final availability/clearance.</w:t>
      </w:r>
    </w:p>
    <w:p>
      <w:pPr>
        <w:pStyle w:val="ListBullet"/>
        <w:spacing w:after="50"/>
      </w:pPr>
      <w:r>
        <w:t>Retain tabmassage.com indefinitely if renewal cost remains nominal.</w:t>
      </w:r>
    </w:p>
    <w:p>
      <w:pPr>
        <w:pStyle w:val="ListBullet"/>
        <w:spacing w:after="50"/>
      </w:pPr>
      <w:r>
        <w:t>Use server-side 301/308 permanent redirects from each meaningful old URL to its closest new equivalent.</w:t>
      </w:r>
    </w:p>
    <w:p>
      <w:pPr>
        <w:pStyle w:val="ListBullet"/>
        <w:spacing w:after="50"/>
      </w:pPr>
      <w:r>
        <w:t>Do not redirect every old page blindly to the homepage.</w:t>
      </w:r>
    </w:p>
    <w:p>
      <w:pPr>
        <w:pStyle w:val="ListBullet"/>
        <w:spacing w:after="50"/>
      </w:pPr>
      <w:r>
        <w:t>Retain legacy email-domain aliases in parallel with the website redirects.</w:t>
      </w:r>
    </w:p>
    <w:tbl>
      <w:tblPr>
        <w:tblStyle w:val="TableGrid"/>
        <w:tblW w:type="auto" w:w="0"/>
        <w:jc w:val="center"/>
        <w:tblLook w:firstColumn="1" w:firstRow="1" w:lastColumn="0" w:lastRow="0" w:noHBand="0" w:noVBand="1" w:val="04A0"/>
      </w:tblPr>
      <w:tblGrid>
        <w:gridCol w:w="5083"/>
        <w:gridCol w:w="5083"/>
      </w:tblGrid>
      <w:tr>
        <w:tc>
          <w:tcPr>
            <w:tcW w:type="dxa" w:w="4608"/>
            <w:vAlign w:val="center"/>
            <w:shd w:fill="5A6046"/>
            <w:tcBorders>
              <w:top w:val="single" w:sz="4" w:color="5A6046"/>
              <w:left w:val="single" w:sz="4" w:color="5A6046"/>
              <w:bottom w:val="single" w:sz="4" w:color="5A6046"/>
              <w:right w:val="single" w:sz="4" w:color="5A6046"/>
            </w:tcBorders>
          </w:tcPr>
          <w:p>
            <w:pPr>
              <w:spacing w:after="0"/>
            </w:pPr>
            <w:r/>
            <w:r>
              <w:rPr>
                <w:rFonts w:ascii="Aptos" w:hAnsi="Aptos"/>
                <w:b/>
                <w:color w:val="FFFFFF"/>
                <w:sz w:val="16"/>
              </w:rPr>
              <w:t>Legacy URL example</w:t>
            </w:r>
          </w:p>
        </w:tc>
        <w:tc>
          <w:tcPr>
            <w:tcW w:type="dxa" w:w="5760"/>
            <w:vAlign w:val="center"/>
            <w:shd w:fill="5A6046"/>
            <w:tcBorders>
              <w:top w:val="single" w:sz="4" w:color="5A6046"/>
              <w:left w:val="single" w:sz="4" w:color="5A6046"/>
              <w:bottom w:val="single" w:sz="4" w:color="5A6046"/>
              <w:right w:val="single" w:sz="4" w:color="5A6046"/>
            </w:tcBorders>
          </w:tcPr>
          <w:p>
            <w:pPr>
              <w:spacing w:after="0"/>
            </w:pPr>
            <w:r/>
            <w:r>
              <w:rPr>
                <w:rFonts w:ascii="Aptos" w:hAnsi="Aptos"/>
                <w:b/>
                <w:color w:val="FFFFFF"/>
                <w:sz w:val="16"/>
              </w:rPr>
              <w:t>Recommended destination</w:t>
            </w:r>
          </w:p>
        </w:tc>
      </w:tr>
      <w:tr>
        <w:tc>
          <w:tcPr>
            <w:tcW w:type="dxa" w:w="4608"/>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tabmassage.com/</w:t>
            </w:r>
          </w:p>
        </w:tc>
        <w:tc>
          <w:tcPr>
            <w:tcW w:type="dxa" w:w="5760"/>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tabwellnesscollective.com/</w:t>
            </w:r>
          </w:p>
        </w:tc>
      </w:tr>
      <w:tr>
        <w:tc>
          <w:tcPr>
            <w:tcW w:type="dxa" w:w="4608"/>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/massage</w:t>
            </w:r>
          </w:p>
        </w:tc>
        <w:tc>
          <w:tcPr>
            <w:tcW w:type="dxa" w:w="5760"/>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/services/massage-bodywork</w:t>
            </w:r>
          </w:p>
        </w:tc>
      </w:tr>
      <w:tr>
        <w:tc>
          <w:tcPr>
            <w:tcW w:type="dxa" w:w="4608"/>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/personal-training</w:t>
            </w:r>
          </w:p>
        </w:tc>
        <w:tc>
          <w:tcPr>
            <w:tcW w:type="dxa" w:w="5760"/>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/services/personal-strength-training</w:t>
            </w:r>
          </w:p>
        </w:tc>
      </w:tr>
      <w:tr>
        <w:tc>
          <w:tcPr>
            <w:tcW w:type="dxa" w:w="4608"/>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/about</w:t>
            </w:r>
          </w:p>
        </w:tc>
        <w:tc>
          <w:tcPr>
            <w:tcW w:type="dxa" w:w="5760"/>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/about</w:t>
            </w:r>
          </w:p>
        </w:tc>
      </w:tr>
      <w:tr>
        <w:tc>
          <w:tcPr>
            <w:tcW w:type="dxa" w:w="4608"/>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Legacy article/resource</w:t>
            </w:r>
          </w:p>
        </w:tc>
        <w:tc>
          <w:tcPr>
            <w:tcW w:type="dxa" w:w="5760"/>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Matching new /resources article where available</w:t>
            </w:r>
          </w:p>
        </w:tc>
      </w:tr>
    </w:tbl>
    <w:p>
      <w:pPr>
        <w:spacing w:after="0"/>
      </w:pPr>
    </w:p>
    <w:p>
      <w:pPr>
        <w:pStyle w:val="Heading2"/>
      </w:pPr>
      <w:r>
        <w:t>Launch SEO checklist</w:t>
      </w:r>
    </w:p>
    <w:p>
      <w:pPr>
        <w:pStyle w:val="ListBullet"/>
        <w:spacing w:after="50"/>
      </w:pPr>
      <w:r>
        <w:t>Build and test the full redirect map before launch.</w:t>
      </w:r>
    </w:p>
    <w:p>
      <w:pPr>
        <w:pStyle w:val="ListBullet"/>
        <w:spacing w:after="50"/>
      </w:pPr>
      <w:r>
        <w:t>Avoid redirect chains and redirect loops.</w:t>
      </w:r>
    </w:p>
    <w:p>
      <w:pPr>
        <w:pStyle w:val="ListBullet"/>
        <w:spacing w:after="50"/>
      </w:pPr>
      <w:r>
        <w:t>Update internal links, canonical tags and XML sitemap.</w:t>
      </w:r>
    </w:p>
    <w:p>
      <w:pPr>
        <w:pStyle w:val="ListBullet"/>
        <w:spacing w:after="50"/>
      </w:pPr>
      <w:r>
        <w:t>Review robots.txt and remove any staging noindex directives.</w:t>
      </w:r>
    </w:p>
    <w:p>
      <w:pPr>
        <w:pStyle w:val="ListBullet"/>
        <w:spacing w:after="50"/>
      </w:pPr>
      <w:r>
        <w:t>Verify both domains in Google Search Console.</w:t>
      </w:r>
    </w:p>
    <w:p>
      <w:pPr>
        <w:pStyle w:val="ListBullet"/>
        <w:spacing w:after="50"/>
      </w:pPr>
      <w:r>
        <w:t>Submit the new sitemap and domain move/change-of-address workflow where applicable.</w:t>
      </w:r>
    </w:p>
    <w:p>
      <w:pPr>
        <w:pStyle w:val="ListBullet"/>
        <w:spacing w:after="50"/>
      </w:pPr>
      <w:r>
        <w:t>Update analytics/measurement configuration.</w:t>
      </w:r>
    </w:p>
    <w:p>
      <w:pPr>
        <w:pStyle w:val="ListBullet"/>
        <w:spacing w:after="50"/>
      </w:pPr>
      <w:r>
        <w:t>Crawl the legacy site and new site for 404s before and after launch.</w:t>
      </w:r>
    </w:p>
    <w:p>
      <w:pPr>
        <w:pStyle w:val="ListBullet"/>
        <w:spacing w:after="50"/>
      </w:pPr>
      <w:r>
        <w:t>Update major external backlinks and directory links where feasible.</w:t>
      </w:r>
    </w:p>
    <w:p>
      <w:pPr>
        <w:pStyle w:val="ListBullet"/>
        <w:spacing w:after="50"/>
      </w:pPr>
      <w:r>
        <w:t>Expect temporary search fluctuation while the new URLs are reprocessed.</w:t>
      </w:r>
    </w:p>
    <w:p>
      <w:pPr>
        <w:pStyle w:val="Heading1"/>
      </w:pPr>
      <w:r>
        <w:t>19.4 — Google Business Profile &amp; Local Search</w:t>
      </w:r>
    </w:p>
    <w:p>
      <w:r>
        <w:t>The local listing should change only when the real-world identity is ready to support it. The website, visible branding and Business Profile should tell the same story.</w:t>
      </w:r>
    </w:p>
    <w:p>
      <w:pPr>
        <w:pStyle w:val="Heading2"/>
      </w:pPr>
      <w:r>
        <w:t>Recommended sequence</w:t>
      </w:r>
    </w:p>
    <w:p>
      <w:pPr>
        <w:pStyle w:val="ListNumber"/>
        <w:spacing w:after="50"/>
      </w:pPr>
      <w:r>
        <w:t>Install or make visible the new real-world/public branding.</w:t>
      </w:r>
    </w:p>
    <w:p>
      <w:pPr>
        <w:pStyle w:val="ListNumber"/>
        <w:spacing w:after="50"/>
      </w:pPr>
      <w:r>
        <w:t>Launch the website as TAB Wellness Collective.</w:t>
      </w:r>
    </w:p>
    <w:p>
      <w:pPr>
        <w:pStyle w:val="ListNumber"/>
        <w:spacing w:after="50"/>
      </w:pPr>
      <w:r>
        <w:t>Update the Google Business Profile and prepare for possible reverification.</w:t>
      </w:r>
    </w:p>
    <w:p>
      <w:pPr>
        <w:pStyle w:val="Heading2"/>
      </w:pPr>
      <w:r>
        <w:t>Profile updates</w:t>
      </w:r>
    </w:p>
    <w:p>
      <w:pPr>
        <w:pStyle w:val="ListBullet"/>
        <w:spacing w:after="50"/>
      </w:pPr>
      <w:r>
        <w:t>Business name</w:t>
      </w:r>
    </w:p>
    <w:p>
      <w:pPr>
        <w:pStyle w:val="ListBullet"/>
        <w:spacing w:after="50"/>
      </w:pPr>
      <w:r>
        <w:t>Primary and secondary categories where justified</w:t>
      </w:r>
    </w:p>
    <w:p>
      <w:pPr>
        <w:pStyle w:val="ListBullet"/>
        <w:spacing w:after="50"/>
      </w:pPr>
      <w:r>
        <w:t>Website URL</w:t>
      </w:r>
    </w:p>
    <w:p>
      <w:pPr>
        <w:pStyle w:val="ListBullet"/>
        <w:spacing w:after="50"/>
      </w:pPr>
      <w:r>
        <w:t>Appointment link</w:t>
      </w:r>
    </w:p>
    <w:p>
      <w:pPr>
        <w:pStyle w:val="ListBullet"/>
        <w:spacing w:after="50"/>
      </w:pPr>
      <w:r>
        <w:t>Business description</w:t>
      </w:r>
    </w:p>
    <w:p>
      <w:pPr>
        <w:pStyle w:val="ListBullet"/>
        <w:spacing w:after="50"/>
      </w:pPr>
      <w:r>
        <w:t>Services</w:t>
      </w:r>
    </w:p>
    <w:p>
      <w:pPr>
        <w:pStyle w:val="ListBullet"/>
        <w:spacing w:after="50"/>
      </w:pPr>
      <w:r>
        <w:t>Logo and cover imagery</w:t>
      </w:r>
    </w:p>
    <w:p>
      <w:pPr>
        <w:pStyle w:val="ListBullet"/>
        <w:spacing w:after="50"/>
      </w:pPr>
      <w:r>
        <w:t>Photos</w:t>
      </w:r>
    </w:p>
    <w:p>
      <w:pPr>
        <w:pStyle w:val="ListBullet"/>
        <w:spacing w:after="50"/>
      </w:pPr>
      <w:r>
        <w:t>Hours and contact details if needed</w:t>
      </w:r>
    </w:p>
    <w:p>
      <w:r>
        <w:t>During the transition, “formerly TAB Massage &amp; Fitness” can appear in explanatory copy but should not be inserted as part of the official business-name field unless it is genuinely part of the real-world name.</w:t>
      </w:r>
    </w:p>
    <w:p>
      <w:pPr>
        <w:pStyle w:val="Heading2"/>
      </w:pPr>
      <w:r>
        <w:t>NAP consistency</w:t>
      </w:r>
    </w:p>
    <w:p>
      <w:r>
        <w:t>Maintain one canonical Name / Address / Phone / Website record and use it consistently across Google, Apple, Bing, Yelp, Facebook, local directories, professional listings and community partners.</w:t>
      </w:r>
    </w:p>
    <w:p>
      <w:pPr>
        <w:pStyle w:val="Heading1"/>
      </w:pPr>
      <w:r>
        <w:t>19.5 — Timely Migration</w:t>
      </w:r>
    </w:p>
    <w:p>
      <w:r>
        <w:t>Timely remains the appointment and scheduling system of record. The rebrand should update the existing Timely presence rather than forcing clients into a new scheduling history.</w:t>
      </w:r>
    </w:p>
    <w:p>
      <w:pPr>
        <w:pStyle w:val="Heading2"/>
      </w:pPr>
      <w:r>
        <w:t>Timely cutover checklist</w:t>
      </w:r>
    </w:p>
    <w:p>
      <w:pPr>
        <w:pStyle w:val="ListBullet"/>
        <w:spacing w:after="50"/>
      </w:pPr>
      <w:r>
        <w:t>Business name and logo</w:t>
      </w:r>
    </w:p>
    <w:p>
      <w:pPr>
        <w:pStyle w:val="ListBullet"/>
        <w:spacing w:after="50"/>
      </w:pPr>
      <w:r>
        <w:t>Business description</w:t>
      </w:r>
    </w:p>
    <w:p>
      <w:pPr>
        <w:pStyle w:val="ListBullet"/>
        <w:spacing w:after="50"/>
      </w:pPr>
      <w:r>
        <w:t>Website and social links</w:t>
      </w:r>
    </w:p>
    <w:p>
      <w:pPr>
        <w:pStyle w:val="ListBullet"/>
        <w:spacing w:after="50"/>
      </w:pPr>
      <w:r>
        <w:t>Location name</w:t>
      </w:r>
    </w:p>
    <w:p>
      <w:pPr>
        <w:pStyle w:val="ListBullet"/>
        <w:spacing w:after="50"/>
      </w:pPr>
      <w:r>
        <w:t>Client-facing contact information</w:t>
      </w:r>
    </w:p>
    <w:p>
      <w:pPr>
        <w:pStyle w:val="ListBullet"/>
        <w:spacing w:after="50"/>
      </w:pPr>
      <w:r>
        <w:t>Booking page branding</w:t>
      </w:r>
    </w:p>
    <w:p>
      <w:pPr>
        <w:pStyle w:val="ListBullet"/>
        <w:spacing w:after="50"/>
      </w:pPr>
      <w:r>
        <w:t>Email branding/templates</w:t>
      </w:r>
    </w:p>
    <w:p>
      <w:pPr>
        <w:pStyle w:val="ListBullet"/>
        <w:spacing w:after="50"/>
      </w:pPr>
      <w:r>
        <w:t>Invoice branding</w:t>
      </w:r>
    </w:p>
    <w:p>
      <w:pPr>
        <w:pStyle w:val="ListBullet"/>
        <w:spacing w:after="50"/>
      </w:pPr>
      <w:r>
        <w:t>Service names and descriptions</w:t>
      </w:r>
    </w:p>
    <w:p>
      <w:pPr>
        <w:pStyle w:val="ListBullet"/>
        <w:spacing w:after="50"/>
      </w:pPr>
      <w:r>
        <w:t>Service categories</w:t>
      </w:r>
    </w:p>
    <w:p>
      <w:pPr>
        <w:pStyle w:val="ListBullet"/>
        <w:spacing w:after="50"/>
      </w:pPr>
      <w:r>
        <w:t>Practitioner bios</w:t>
      </w:r>
    </w:p>
    <w:p>
      <w:pPr>
        <w:pStyle w:val="ListBullet"/>
        <w:spacing w:after="50"/>
      </w:pPr>
      <w:r>
        <w:t>Consultation/intake forms</w:t>
      </w:r>
    </w:p>
    <w:p>
      <w:pPr>
        <w:pStyle w:val="ListBullet"/>
        <w:spacing w:after="50"/>
      </w:pPr>
      <w:r>
        <w:t>Confirmation/reminder text</w:t>
      </w:r>
    </w:p>
    <w:p>
      <w:pPr>
        <w:pStyle w:val="ListBullet"/>
        <w:spacing w:after="50"/>
      </w:pPr>
      <w:r>
        <w:t>Cancellation copy</w:t>
      </w:r>
    </w:p>
    <w:tbl>
      <w:tblPr>
        <w:tblW w:type="auto" w:w="0"/>
        <w:jc w:val="center"/>
        <w:tblLook w:firstColumn="1" w:firstRow="1" w:lastColumn="0" w:lastRow="0" w:noHBand="0" w:noVBand="1" w:val="04A0"/>
      </w:tblPr>
      <w:tblGrid>
        <w:gridCol w:w="10166"/>
      </w:tblGrid>
      <w:tr>
        <w:tc>
          <w:tcPr>
            <w:tcW w:type="dxa" w:w="10166"/>
            <w:shd w:fill="F4F0E8"/>
            <w:tcBorders>
              <w:top w:val="single" w:sz="8" w:color="B08C63"/>
              <w:left w:val="single" w:sz="8" w:color="B08C63"/>
              <w:bottom w:val="single" w:sz="8" w:color="B08C63"/>
              <w:right w:val="single" w:sz="8" w:color="B08C63"/>
            </w:tcBorders>
          </w:tcPr>
          <w:p>
            <w:pPr>
              <w:pStyle w:val="CalloutTitle"/>
            </w:pPr>
            <w:r>
              <w:t>Notification continuity</w:t>
            </w:r>
          </w:p>
          <w:p>
            <w:pPr>
              <w:spacing w:after="0" w:line="252" w:lineRule="auto"/>
            </w:pPr>
            <w:r>
              <w:t>Already-sent reminders may still contain the legacy business name. Advance client communication reduces confusion during the overlap period.</w:t>
            </w:r>
          </w:p>
        </w:tc>
      </w:tr>
    </w:tbl>
    <w:p>
      <w:pPr>
        <w:pStyle w:val="Heading1"/>
      </w:pPr>
      <w:r>
        <w:t>19.6 — Stripe &amp; Financial Experience</w:t>
      </w:r>
    </w:p>
    <w:p>
      <w:r>
        <w:t>Stripe remains the payment and financial-transaction system of record. The transition should update customer-facing branding while preserving transaction history and avoiding any need to move card data into TAB systems.</w:t>
      </w:r>
    </w:p>
    <w:p>
      <w:pPr>
        <w:pStyle w:val="ListBullet"/>
        <w:spacing w:after="50"/>
      </w:pPr>
      <w:r>
        <w:t>Update public/business name where appropriate.</w:t>
      </w:r>
    </w:p>
    <w:p>
      <w:pPr>
        <w:pStyle w:val="ListBullet"/>
        <w:spacing w:after="50"/>
      </w:pPr>
      <w:r>
        <w:t>Update support email and support URL.</w:t>
      </w:r>
    </w:p>
    <w:p>
      <w:pPr>
        <w:pStyle w:val="ListBullet"/>
        <w:spacing w:after="50"/>
      </w:pPr>
      <w:r>
        <w:t>Refresh receipt, invoice and Customer Portal branding.</w:t>
      </w:r>
    </w:p>
    <w:p>
      <w:pPr>
        <w:pStyle w:val="ListBullet"/>
        <w:spacing w:after="50"/>
      </w:pPr>
      <w:r>
        <w:t>Review subscription and product names.</w:t>
      </w:r>
    </w:p>
    <w:p>
      <w:pPr>
        <w:pStyle w:val="ListBullet"/>
        <w:spacing w:after="50"/>
      </w:pPr>
      <w:r>
        <w:t>Review payment links and checkout descriptions.</w:t>
      </w:r>
    </w:p>
    <w:p>
      <w:pPr>
        <w:pStyle w:val="ListBullet"/>
        <w:spacing w:after="50"/>
      </w:pPr>
      <w:r>
        <w:t>Define and document the card-statement descriptor.</w:t>
      </w:r>
    </w:p>
    <w:p>
      <w:pPr>
        <w:pStyle w:val="ListBullet"/>
        <w:spacing w:after="50"/>
      </w:pPr>
      <w:r>
        <w:t>Keep card/bank information in Stripe rather than My TAB.</w:t>
      </w:r>
    </w:p>
    <w:p>
      <w:pPr>
        <w:pStyle w:val="Heading2"/>
      </w:pPr>
      <w:r>
        <w:t>Statement descriptor</w:t>
      </w:r>
    </w:p>
    <w:p>
      <w:r>
        <w:t>Because the full public name may exceed processor descriptor limits, use a recognizable abbreviated financial descriptor such as TABWELLNESSCOLL rather than turning “TAB Wellness” into a secondary marketing brand.</w:t>
      </w:r>
    </w:p>
    <w:p>
      <w:pPr>
        <w:pStyle w:val="Heading1"/>
      </w:pPr>
      <w:r>
        <w:t>19.7 — Email &amp; Domain Migration</w:t>
      </w:r>
    </w:p>
    <w:p>
      <w:pPr>
        <w:pStyle w:val="ListBullet"/>
        <w:spacing w:after="50"/>
      </w:pPr>
      <w:r>
        <w:t>Create new-domain email addresses/aliases before launch.</w:t>
      </w:r>
    </w:p>
    <w:p>
      <w:pPr>
        <w:pStyle w:val="ListBullet"/>
        <w:spacing w:after="50"/>
      </w:pPr>
      <w:r>
        <w:t>Use role addresses such as hello@, support@ and billing@ where useful.</w:t>
      </w:r>
    </w:p>
    <w:p>
      <w:pPr>
        <w:pStyle w:val="ListBullet"/>
        <w:spacing w:after="50"/>
      </w:pPr>
      <w:r>
        <w:t>Preserve all legacy @tabmassage.com addresses as aliases/forwarders for years, potentially indefinitely.</w:t>
      </w:r>
    </w:p>
    <w:p>
      <w:pPr>
        <w:pStyle w:val="ListBullet"/>
        <w:spacing w:after="50"/>
      </w:pPr>
      <w:r>
        <w:t>Use a 90-day transitional signature that includes “formerly TAB Massage &amp; Fitness.”</w:t>
      </w:r>
    </w:p>
    <w:p>
      <w:pPr>
        <w:pStyle w:val="ListBullet"/>
        <w:spacing w:after="50"/>
      </w:pPr>
      <w:r>
        <w:t>Avoid permanent auto-replies on legacy addresses; if used at launch, keep them short and temporary.</w:t>
      </w:r>
    </w:p>
    <w:p>
      <w:pPr>
        <w:pStyle w:val="Quote"/>
      </w:pPr>
      <w:r>
        <w:t>You’re in the right place — TAB Massage &amp; Fitness is now TAB Wellness Collective. Your message has reached us normally.</w:t>
      </w:r>
    </w:p>
    <w:p>
      <w:pPr>
        <w:pStyle w:val="Heading1"/>
      </w:pPr>
      <w:r>
        <w:t>19.8 — Social Media Transition</w:t>
      </w:r>
    </w:p>
    <w:p>
      <w:r>
        <w:t>Keep existing accounts wherever possible. Rebranding in place preserves followers, engagement history, reviews and social proof.</w:t>
      </w:r>
    </w:p>
    <w:p>
      <w:pPr>
        <w:pStyle w:val="ListBullet"/>
        <w:spacing w:after="50"/>
      </w:pPr>
      <w:r>
        <w:t>Change display name and handle when available.</w:t>
      </w:r>
    </w:p>
    <w:p>
      <w:pPr>
        <w:pStyle w:val="ListBullet"/>
        <w:spacing w:after="50"/>
      </w:pPr>
      <w:r>
        <w:t>Update profile icon and cover/banner.</w:t>
      </w:r>
    </w:p>
    <w:p>
      <w:pPr>
        <w:pStyle w:val="ListBullet"/>
        <w:spacing w:after="50"/>
      </w:pPr>
      <w:r>
        <w:t>Update bio, website and booking links.</w:t>
      </w:r>
    </w:p>
    <w:p>
      <w:pPr>
        <w:pStyle w:val="ListBullet"/>
        <w:spacing w:after="50"/>
      </w:pPr>
      <w:r>
        <w:t>Pin a launch/rebrand announcement.</w:t>
      </w:r>
    </w:p>
    <w:p>
      <w:pPr>
        <w:pStyle w:val="ListBullet"/>
        <w:spacing w:after="50"/>
      </w:pPr>
      <w:r>
        <w:t>Use “formerly TAB Massage &amp; Fitness” for approximately 60–90 days where helpful.</w:t>
      </w:r>
    </w:p>
    <w:p>
      <w:pPr>
        <w:pStyle w:val="ListBullet"/>
        <w:spacing w:after="50"/>
      </w:pPr>
      <w:r>
        <w:t>After transition, simplify the bio around whole-person wellness and Transform. Align. Become.</w:t>
      </w:r>
    </w:p>
    <w:p>
      <w:pPr>
        <w:pStyle w:val="Heading2"/>
      </w:pPr>
      <w:r>
        <w:t>Suggested launch-post structure</w:t>
      </w:r>
    </w:p>
    <w:p>
      <w:pPr>
        <w:pStyle w:val="Quote"/>
      </w:pPr>
      <w:r>
        <w:t>TAB is evolving. TAB Massage &amp; Fitness is now TAB Wellness Collective.</w:t>
      </w:r>
    </w:p>
    <w:p>
      <w:r>
        <w:t>Then explain that the new name reflects the broader whole-person model and explicitly list the four service pillars before reinforcing continuity.</w:t>
      </w:r>
    </w:p>
    <w:p>
      <w:pPr>
        <w:pStyle w:val="Heading1"/>
      </w:pPr>
      <w:r>
        <w:t>19.9 — Physical Signage &amp; Environment</w:t>
      </w:r>
    </w:p>
    <w:p>
      <w:pPr>
        <w:pStyle w:val="Heading2"/>
      </w:pPr>
      <w:r>
        <w:t>Exterior inventory</w:t>
      </w:r>
    </w:p>
    <w:p>
      <w:pPr>
        <w:pStyle w:val="ListBullet"/>
        <w:spacing w:after="50"/>
      </w:pPr>
      <w:r>
        <w:t>Building sign</w:t>
      </w:r>
    </w:p>
    <w:p>
      <w:pPr>
        <w:pStyle w:val="ListBullet"/>
        <w:spacing w:after="50"/>
      </w:pPr>
      <w:r>
        <w:t>Roadside sign</w:t>
      </w:r>
    </w:p>
    <w:p>
      <w:pPr>
        <w:pStyle w:val="ListBullet"/>
        <w:spacing w:after="50"/>
      </w:pPr>
      <w:r>
        <w:t>Door/window vinyl</w:t>
      </w:r>
    </w:p>
    <w:p>
      <w:pPr>
        <w:pStyle w:val="ListBullet"/>
        <w:spacing w:after="50"/>
      </w:pPr>
      <w:r>
        <w:t>Hours signage</w:t>
      </w:r>
    </w:p>
    <w:p>
      <w:pPr>
        <w:pStyle w:val="ListBullet"/>
        <w:spacing w:after="50"/>
      </w:pPr>
      <w:r>
        <w:t>Parking signage</w:t>
      </w:r>
    </w:p>
    <w:p>
      <w:pPr>
        <w:pStyle w:val="ListBullet"/>
        <w:spacing w:after="50"/>
      </w:pPr>
      <w:r>
        <w:t>Directional signs</w:t>
      </w:r>
    </w:p>
    <w:p>
      <w:pPr>
        <w:pStyle w:val="Heading2"/>
      </w:pPr>
      <w:r>
        <w:t>Interior inventory</w:t>
      </w:r>
    </w:p>
    <w:p>
      <w:pPr>
        <w:pStyle w:val="ListBullet"/>
        <w:spacing w:after="50"/>
      </w:pPr>
      <w:r>
        <w:t>Reception branding</w:t>
      </w:r>
    </w:p>
    <w:p>
      <w:pPr>
        <w:pStyle w:val="ListBullet"/>
        <w:spacing w:after="50"/>
      </w:pPr>
      <w:r>
        <w:t>Service-room signage</w:t>
      </w:r>
    </w:p>
    <w:p>
      <w:pPr>
        <w:pStyle w:val="ListBullet"/>
        <w:spacing w:after="50"/>
      </w:pPr>
      <w:r>
        <w:t>Training space graphics</w:t>
      </w:r>
    </w:p>
    <w:p>
      <w:pPr>
        <w:pStyle w:val="ListBullet"/>
        <w:spacing w:after="50"/>
      </w:pPr>
      <w:r>
        <w:t>Wall graphics</w:t>
      </w:r>
    </w:p>
    <w:p>
      <w:pPr>
        <w:pStyle w:val="ListBullet"/>
        <w:spacing w:after="50"/>
      </w:pPr>
      <w:r>
        <w:t>Service/pricing boards</w:t>
      </w:r>
    </w:p>
    <w:p>
      <w:pPr>
        <w:pStyle w:val="ListBullet"/>
        <w:spacing w:after="50"/>
      </w:pPr>
      <w:r>
        <w:t>Printed client information</w:t>
      </w:r>
    </w:p>
    <w:tbl>
      <w:tblPr>
        <w:tblW w:type="auto" w:w="0"/>
        <w:jc w:val="center"/>
        <w:tblLook w:firstColumn="1" w:firstRow="1" w:lastColumn="0" w:lastRow="0" w:noHBand="0" w:noVBand="1" w:val="04A0"/>
      </w:tblPr>
      <w:tblGrid>
        <w:gridCol w:w="10166"/>
      </w:tblGrid>
      <w:tr>
        <w:tc>
          <w:tcPr>
            <w:tcW w:type="dxa" w:w="10166"/>
            <w:shd w:fill="F3EFE7"/>
            <w:tcBorders>
              <w:top w:val="single" w:sz="8" w:color="C0784C"/>
              <w:left w:val="single" w:sz="8" w:color="C0784C"/>
              <w:bottom w:val="single" w:sz="8" w:color="C0784C"/>
              <w:right w:val="single" w:sz="8" w:color="C0784C"/>
            </w:tcBorders>
          </w:tcPr>
          <w:p>
            <w:pPr>
              <w:pStyle w:val="CalloutTitle"/>
            </w:pPr>
            <w:r>
              <w:t>Temporary transition sign</w:t>
            </w:r>
          </w:p>
          <w:p>
            <w:pPr>
              <w:spacing w:after="0" w:line="252" w:lineRule="auto"/>
            </w:pPr>
            <w:r>
              <w:t>TAB Massage &amp; Fitness has become TAB Wellness Collective. You’re in the right place.</w:t>
            </w:r>
          </w:p>
        </w:tc>
      </w:tr>
    </w:tbl>
    <w:p>
      <w:r>
        <w:br w:type="page"/>
      </w:r>
    </w:p>
    <w:p>
      <w:pPr>
        <w:pStyle w:val="Heading1"/>
      </w:pPr>
      <w:r>
        <w:t>19.10 — Printed &amp; Operational Materials</w:t>
      </w:r>
    </w:p>
    <w:p>
      <w:pPr>
        <w:pStyle w:val="Heading2"/>
      </w:pPr>
      <w:r>
        <w:t>Client-facing materials</w:t>
      </w:r>
    </w:p>
    <w:p>
      <w:pPr>
        <w:pStyle w:val="ListBullet"/>
        <w:spacing w:after="50"/>
      </w:pPr>
      <w:r>
        <w:t>Business cards</w:t>
      </w:r>
    </w:p>
    <w:p>
      <w:pPr>
        <w:pStyle w:val="ListBullet"/>
        <w:spacing w:after="50"/>
      </w:pPr>
      <w:r>
        <w:t>Brochures</w:t>
      </w:r>
    </w:p>
    <w:p>
      <w:pPr>
        <w:pStyle w:val="ListBullet"/>
        <w:spacing w:after="50"/>
      </w:pPr>
      <w:r>
        <w:t>Gift certificates/cards</w:t>
      </w:r>
    </w:p>
    <w:p>
      <w:pPr>
        <w:pStyle w:val="ListBullet"/>
        <w:spacing w:after="50"/>
      </w:pPr>
      <w:r>
        <w:t>Pricing sheets</w:t>
      </w:r>
    </w:p>
    <w:p>
      <w:pPr>
        <w:pStyle w:val="ListBullet"/>
        <w:spacing w:after="50"/>
      </w:pPr>
      <w:r>
        <w:t>Welcome materials</w:t>
      </w:r>
    </w:p>
    <w:p>
      <w:pPr>
        <w:pStyle w:val="ListBullet"/>
        <w:spacing w:after="50"/>
      </w:pPr>
      <w:r>
        <w:t>Referral cards</w:t>
      </w:r>
    </w:p>
    <w:p>
      <w:pPr>
        <w:pStyle w:val="ListBullet"/>
        <w:spacing w:after="50"/>
      </w:pPr>
      <w:r>
        <w:t>Intake forms</w:t>
      </w:r>
    </w:p>
    <w:p>
      <w:pPr>
        <w:pStyle w:val="ListBullet"/>
        <w:spacing w:after="50"/>
      </w:pPr>
      <w:r>
        <w:t>Consent forms</w:t>
      </w:r>
    </w:p>
    <w:p>
      <w:pPr>
        <w:pStyle w:val="ListBullet"/>
        <w:spacing w:after="50"/>
      </w:pPr>
      <w:r>
        <w:t>TAB Wellness Plans</w:t>
      </w:r>
    </w:p>
    <w:p>
      <w:pPr>
        <w:pStyle w:val="ListBullet"/>
        <w:spacing w:after="50"/>
      </w:pPr>
      <w:r>
        <w:t>Progress reviews</w:t>
      </w:r>
    </w:p>
    <w:p>
      <w:pPr>
        <w:pStyle w:val="ListBullet"/>
        <w:spacing w:after="50"/>
      </w:pPr>
      <w:r>
        <w:t>Program guides</w:t>
      </w:r>
    </w:p>
    <w:p>
      <w:pPr>
        <w:pStyle w:val="ListBullet"/>
        <w:spacing w:after="50"/>
      </w:pPr>
      <w:r>
        <w:t>Educational handouts</w:t>
      </w:r>
    </w:p>
    <w:p>
      <w:pPr>
        <w:pStyle w:val="Heading2"/>
      </w:pPr>
      <w:r>
        <w:t>Administrative materials</w:t>
      </w:r>
    </w:p>
    <w:p>
      <w:pPr>
        <w:pStyle w:val="ListBullet"/>
        <w:spacing w:after="50"/>
      </w:pPr>
      <w:r>
        <w:t>Letterhead</w:t>
      </w:r>
    </w:p>
    <w:p>
      <w:pPr>
        <w:pStyle w:val="ListBullet"/>
        <w:spacing w:after="50"/>
      </w:pPr>
      <w:r>
        <w:t>Invoices</w:t>
      </w:r>
    </w:p>
    <w:p>
      <w:pPr>
        <w:pStyle w:val="ListBullet"/>
        <w:spacing w:after="50"/>
      </w:pPr>
      <w:r>
        <w:t>Contracts</w:t>
      </w:r>
    </w:p>
    <w:p>
      <w:pPr>
        <w:pStyle w:val="ListBullet"/>
        <w:spacing w:after="50"/>
      </w:pPr>
      <w:r>
        <w:t>Waivers</w:t>
      </w:r>
    </w:p>
    <w:p>
      <w:pPr>
        <w:pStyle w:val="ListBullet"/>
        <w:spacing w:after="50"/>
      </w:pPr>
      <w:r>
        <w:t>Vendor forms</w:t>
      </w:r>
    </w:p>
    <w:p>
      <w:pPr>
        <w:pStyle w:val="ListBullet"/>
        <w:spacing w:after="50"/>
      </w:pPr>
      <w:r>
        <w:t>W-9/business documentation as applicable</w:t>
      </w:r>
    </w:p>
    <w:p>
      <w:pPr>
        <w:pStyle w:val="ListBullet"/>
        <w:spacing w:after="50"/>
      </w:pPr>
      <w:r>
        <w:t>Insurance documentation</w:t>
      </w:r>
    </w:p>
    <w:p>
      <w:pPr>
        <w:pStyle w:val="ListBullet"/>
        <w:spacing w:after="50"/>
      </w:pPr>
      <w:r>
        <w:t>Professional licenses/registrations as applicable</w:t>
      </w:r>
    </w:p>
    <w:p>
      <w:pPr>
        <w:pStyle w:val="Heading2"/>
      </w:pPr>
      <w:r>
        <w:t>Digital templates</w:t>
      </w:r>
    </w:p>
    <w:p>
      <w:pPr>
        <w:pStyle w:val="ListBullet"/>
        <w:spacing w:after="50"/>
      </w:pPr>
      <w:r>
        <w:t>PDF templates</w:t>
      </w:r>
    </w:p>
    <w:p>
      <w:pPr>
        <w:pStyle w:val="ListBullet"/>
        <w:spacing w:after="50"/>
      </w:pPr>
      <w:r>
        <w:t>Slide decks</w:t>
      </w:r>
    </w:p>
    <w:p>
      <w:pPr>
        <w:pStyle w:val="ListBullet"/>
        <w:spacing w:after="50"/>
      </w:pPr>
      <w:r>
        <w:t>QR codes</w:t>
      </w:r>
    </w:p>
    <w:p>
      <w:pPr>
        <w:pStyle w:val="ListBullet"/>
        <w:spacing w:after="50"/>
      </w:pPr>
      <w:r>
        <w:t>Downloadable guides</w:t>
      </w:r>
    </w:p>
    <w:p>
      <w:pPr>
        <w:pStyle w:val="ListBullet"/>
        <w:spacing w:after="50"/>
      </w:pPr>
      <w:r>
        <w:t>Forms</w:t>
      </w:r>
    </w:p>
    <w:p>
      <w:pPr>
        <w:pStyle w:val="ListBullet"/>
        <w:spacing w:after="50"/>
      </w:pPr>
      <w:r>
        <w:t>Email templates</w:t>
      </w:r>
    </w:p>
    <w:p>
      <w:pPr>
        <w:pStyle w:val="ListBullet"/>
        <w:spacing w:after="50"/>
      </w:pPr>
      <w:r>
        <w:t>Client portal assets</w:t>
      </w:r>
    </w:p>
    <w:p>
      <w:pPr>
        <w:pStyle w:val="ListBullet"/>
        <w:spacing w:after="50"/>
      </w:pPr>
      <w:r>
        <w:t>Appointment confirmation templates</w:t>
      </w:r>
    </w:p>
    <w:p>
      <w:pPr>
        <w:pStyle w:val="Heading1"/>
      </w:pPr>
      <w:r>
        <w:t>19.11 — Existing-Client Communication Plan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016"/>
            <w:vAlign w:val="center"/>
            <w:shd w:fill="5A6046"/>
            <w:tcBorders>
              <w:top w:val="single" w:sz="4" w:color="5A6046"/>
              <w:left w:val="single" w:sz="4" w:color="5A6046"/>
              <w:bottom w:val="single" w:sz="4" w:color="5A6046"/>
              <w:right w:val="single" w:sz="4" w:color="5A6046"/>
            </w:tcBorders>
          </w:tcPr>
          <w:p>
            <w:pPr>
              <w:spacing w:after="0"/>
            </w:pPr>
            <w:r/>
            <w:r>
              <w:rPr>
                <w:rFonts w:ascii="Aptos" w:hAnsi="Aptos"/>
                <w:b/>
                <w:color w:val="FFFFFF"/>
                <w:sz w:val="16"/>
              </w:rPr>
              <w:t>Communication</w:t>
            </w:r>
          </w:p>
        </w:tc>
        <w:tc>
          <w:tcPr>
            <w:tcW w:type="dxa" w:w="2016"/>
            <w:vAlign w:val="center"/>
            <w:shd w:fill="5A6046"/>
            <w:tcBorders>
              <w:top w:val="single" w:sz="4" w:color="5A6046"/>
              <w:left w:val="single" w:sz="4" w:color="5A6046"/>
              <w:bottom w:val="single" w:sz="4" w:color="5A6046"/>
              <w:right w:val="single" w:sz="4" w:color="5A6046"/>
            </w:tcBorders>
          </w:tcPr>
          <w:p>
            <w:pPr>
              <w:spacing w:after="0"/>
            </w:pPr>
            <w:r/>
            <w:r>
              <w:rPr>
                <w:rFonts w:ascii="Aptos" w:hAnsi="Aptos"/>
                <w:b/>
                <w:color w:val="FFFFFF"/>
                <w:sz w:val="16"/>
              </w:rPr>
              <w:t>Timing</w:t>
            </w:r>
          </w:p>
        </w:tc>
        <w:tc>
          <w:tcPr>
            <w:tcW w:type="dxa" w:w="3744"/>
            <w:vAlign w:val="center"/>
            <w:shd w:fill="5A6046"/>
            <w:tcBorders>
              <w:top w:val="single" w:sz="4" w:color="5A6046"/>
              <w:left w:val="single" w:sz="4" w:color="5A6046"/>
              <w:bottom w:val="single" w:sz="4" w:color="5A6046"/>
              <w:right w:val="single" w:sz="4" w:color="5A6046"/>
            </w:tcBorders>
          </w:tcPr>
          <w:p>
            <w:pPr>
              <w:spacing w:after="0"/>
            </w:pPr>
            <w:r/>
            <w:r>
              <w:rPr>
                <w:rFonts w:ascii="Aptos" w:hAnsi="Aptos"/>
                <w:b/>
                <w:color w:val="FFFFFF"/>
                <w:sz w:val="16"/>
              </w:rPr>
              <w:t>Purpose</w:t>
            </w:r>
          </w:p>
        </w:tc>
        <w:tc>
          <w:tcPr>
            <w:tcW w:type="dxa" w:w="3168"/>
            <w:vAlign w:val="center"/>
            <w:shd w:fill="5A6046"/>
            <w:tcBorders>
              <w:top w:val="single" w:sz="4" w:color="5A6046"/>
              <w:left w:val="single" w:sz="4" w:color="5A6046"/>
              <w:bottom w:val="single" w:sz="4" w:color="5A6046"/>
              <w:right w:val="single" w:sz="4" w:color="5A6046"/>
            </w:tcBorders>
          </w:tcPr>
          <w:p>
            <w:pPr>
              <w:spacing w:after="0"/>
            </w:pPr>
            <w:r/>
            <w:r>
              <w:rPr>
                <w:rFonts w:ascii="Aptos" w:hAnsi="Aptos"/>
                <w:b/>
                <w:color w:val="FFFFFF"/>
                <w:sz w:val="16"/>
              </w:rPr>
              <w:t>Core subject/message</w:t>
            </w:r>
          </w:p>
        </w:tc>
      </w:tr>
      <w:tr>
        <w:tc>
          <w:tcPr>
            <w:tcW w:type="dxa" w:w="2016"/>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1 — Heads-up</w:t>
            </w:r>
          </w:p>
        </w:tc>
        <w:tc>
          <w:tcPr>
            <w:tcW w:type="dxa" w:w="2016"/>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2–3 weeks before launch</w:t>
            </w:r>
          </w:p>
        </w:tc>
        <w:tc>
          <w:tcPr>
            <w:tcW w:type="dxa" w:w="3744"/>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Prepare clients before they encounter the change.</w:t>
            </w:r>
          </w:p>
        </w:tc>
        <w:tc>
          <w:tcPr>
            <w:tcW w:type="dxa" w:w="3168"/>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TAB is evolving</w:t>
            </w:r>
          </w:p>
        </w:tc>
      </w:tr>
      <w:tr>
        <w:tc>
          <w:tcPr>
            <w:tcW w:type="dxa" w:w="2016"/>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2 — Launch</w:t>
            </w:r>
          </w:p>
        </w:tc>
        <w:tc>
          <w:tcPr>
            <w:tcW w:type="dxa" w:w="2016"/>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Launch day</w:t>
            </w:r>
          </w:p>
        </w:tc>
        <w:tc>
          <w:tcPr>
            <w:tcW w:type="dxa" w:w="3744"/>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Introduce the new identity, four pillars and philosophy.</w:t>
            </w:r>
          </w:p>
        </w:tc>
        <w:tc>
          <w:tcPr>
            <w:tcW w:type="dxa" w:w="3168"/>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Welcome to TAB Wellness Collective</w:t>
            </w:r>
          </w:p>
        </w:tc>
      </w:tr>
      <w:tr>
        <w:tc>
          <w:tcPr>
            <w:tcW w:type="dxa" w:w="2016"/>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3 — Experience</w:t>
            </w:r>
          </w:p>
        </w:tc>
        <w:tc>
          <w:tcPr>
            <w:tcW w:type="dxa" w:w="2016"/>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2–4 weeks after launch</w:t>
            </w:r>
          </w:p>
        </w:tc>
        <w:tc>
          <w:tcPr>
            <w:tcW w:type="dxa" w:w="3744"/>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Shift the story from “new name” to “what the new TAB experience means for you.”</w:t>
            </w:r>
          </w:p>
        </w:tc>
        <w:tc>
          <w:tcPr>
            <w:tcW w:type="dxa" w:w="3168"/>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What TAB Wellness Collective means for you</w:t>
            </w:r>
          </w:p>
        </w:tc>
      </w:tr>
    </w:tbl>
    <w:p>
      <w:pPr>
        <w:spacing w:after="0"/>
      </w:pPr>
    </w:p>
    <w:p>
      <w:pPr>
        <w:pStyle w:val="Heading2"/>
      </w:pPr>
      <w:r>
        <w:t>Communication 1 — Heads-up</w:t>
      </w:r>
    </w:p>
    <w:p>
      <w:pPr>
        <w:pStyle w:val="ListBullet"/>
        <w:spacing w:after="50"/>
      </w:pPr>
      <w:r>
        <w:t>What is changing: name, visual identity, website and expanded expression of services.</w:t>
      </w:r>
    </w:p>
    <w:p>
      <w:pPr>
        <w:pStyle w:val="ListBullet"/>
        <w:spacing w:after="50"/>
      </w:pPr>
      <w:r>
        <w:t>Why the change is happening.</w:t>
      </w:r>
    </w:p>
    <w:p>
      <w:pPr>
        <w:pStyle w:val="ListBullet"/>
        <w:spacing w:after="50"/>
      </w:pPr>
      <w:r>
        <w:t>What is not changing: existing appointments, relationships and client history.</w:t>
      </w:r>
    </w:p>
    <w:p>
      <w:pPr>
        <w:pStyle w:val="ListBullet"/>
        <w:spacing w:after="50"/>
      </w:pPr>
      <w:r>
        <w:t>Whether the client needs to take any action — ideally no.</w:t>
      </w:r>
    </w:p>
    <w:p>
      <w:pPr>
        <w:pStyle w:val="Heading2"/>
      </w:pPr>
      <w:r>
        <w:t>Communication 2 — Launch</w:t>
      </w:r>
    </w:p>
    <w:p>
      <w:pPr>
        <w:pStyle w:val="ListBullet"/>
        <w:spacing w:after="50"/>
      </w:pPr>
      <w:r>
        <w:t>Introduce TAB Wellness Collective</w:t>
      </w:r>
    </w:p>
    <w:p>
      <w:pPr>
        <w:pStyle w:val="ListBullet"/>
        <w:spacing w:after="50"/>
      </w:pPr>
      <w:r>
        <w:t>Explain Transform. Align. Become.</w:t>
      </w:r>
    </w:p>
    <w:p>
      <w:pPr>
        <w:pStyle w:val="ListBullet"/>
        <w:spacing w:after="50"/>
      </w:pPr>
      <w:r>
        <w:t>Show the four service pillars</w:t>
      </w:r>
    </w:p>
    <w:p>
      <w:pPr>
        <w:pStyle w:val="ListBullet"/>
        <w:spacing w:after="50"/>
      </w:pPr>
      <w:r>
        <w:t>Link to the new site</w:t>
      </w:r>
    </w:p>
    <w:p>
      <w:pPr>
        <w:pStyle w:val="ListBullet"/>
        <w:spacing w:after="50"/>
      </w:pPr>
      <w:r>
        <w:t>Reinforce continuity and the Start Where You Are philosophy</w:t>
      </w:r>
    </w:p>
    <w:p>
      <w:pPr>
        <w:pStyle w:val="Heading2"/>
      </w:pPr>
      <w:r>
        <w:t>Communication 3 — Experience</w:t>
      </w:r>
    </w:p>
    <w:p>
      <w:pPr>
        <w:pStyle w:val="ListBullet"/>
        <w:spacing w:after="50"/>
      </w:pPr>
      <w:r>
        <w:t>Explain the TAB Method</w:t>
      </w:r>
    </w:p>
    <w:p>
      <w:pPr>
        <w:pStyle w:val="ListBullet"/>
        <w:spacing w:after="50"/>
      </w:pPr>
      <w:r>
        <w:t>Highlight Start Where You Are</w:t>
      </w:r>
    </w:p>
    <w:p>
      <w:pPr>
        <w:pStyle w:val="ListBullet"/>
        <w:spacing w:after="50"/>
      </w:pPr>
      <w:r>
        <w:t>Introduce resources and My TAB roadmap if ready</w:t>
      </w:r>
    </w:p>
    <w:p>
      <w:pPr>
        <w:pStyle w:val="ListBullet"/>
        <w:spacing w:after="50"/>
      </w:pPr>
      <w:r>
        <w:t>Show how services can connect without forcing cross-sell</w:t>
      </w:r>
    </w:p>
    <w:p>
      <w:pPr>
        <w:pStyle w:val="Heading1"/>
      </w:pPr>
      <w:r>
        <w:t>19.12 — Referral &amp; Professional Partners</w:t>
      </w:r>
    </w:p>
    <w:p>
      <w:r>
        <w:t>Referral partners should be notified directly rather than left to infer the change from a website or social post.</w:t>
      </w:r>
    </w:p>
    <w:p>
      <w:pPr>
        <w:pStyle w:val="ListBullet"/>
        <w:spacing w:after="50"/>
      </w:pPr>
      <w:r>
        <w:t>Physicians</w:t>
      </w:r>
    </w:p>
    <w:p>
      <w:pPr>
        <w:pStyle w:val="ListBullet"/>
        <w:spacing w:after="50"/>
      </w:pPr>
      <w:r>
        <w:t>Physical therapists</w:t>
      </w:r>
    </w:p>
    <w:p>
      <w:pPr>
        <w:pStyle w:val="ListBullet"/>
        <w:spacing w:after="50"/>
      </w:pPr>
      <w:r>
        <w:t>Chiropractors</w:t>
      </w:r>
    </w:p>
    <w:p>
      <w:pPr>
        <w:pStyle w:val="ListBullet"/>
        <w:spacing w:after="50"/>
      </w:pPr>
      <w:r>
        <w:t>Doulas</w:t>
      </w:r>
    </w:p>
    <w:p>
      <w:pPr>
        <w:pStyle w:val="ListBullet"/>
        <w:spacing w:after="50"/>
      </w:pPr>
      <w:r>
        <w:t>Therapists</w:t>
      </w:r>
    </w:p>
    <w:p>
      <w:pPr>
        <w:pStyle w:val="ListBullet"/>
        <w:spacing w:after="50"/>
      </w:pPr>
      <w:r>
        <w:t>Other wellness providers</w:t>
      </w:r>
    </w:p>
    <w:p>
      <w:pPr>
        <w:pStyle w:val="ListBullet"/>
        <w:spacing w:after="50"/>
      </w:pPr>
      <w:r>
        <w:t>Gyms/trainers</w:t>
      </w:r>
    </w:p>
    <w:p>
      <w:pPr>
        <w:pStyle w:val="ListBullet"/>
        <w:spacing w:after="50"/>
      </w:pPr>
      <w:r>
        <w:t>Community organizations</w:t>
      </w:r>
    </w:p>
    <w:p>
      <w:pPr>
        <w:pStyle w:val="ListBullet"/>
        <w:spacing w:after="50"/>
      </w:pPr>
      <w:r>
        <w:t>Local businesses</w:t>
      </w:r>
    </w:p>
    <w:p>
      <w:pPr>
        <w:pStyle w:val="ListBullet"/>
        <w:spacing w:after="50"/>
      </w:pPr>
      <w:r>
        <w:t>Other referral sources</w:t>
      </w:r>
    </w:p>
    <w:p>
      <w:pPr>
        <w:pStyle w:val="Quote"/>
      </w:pPr>
      <w:r>
        <w:t>TAB Massage &amp; Fitness is becoming TAB Wellness Collective. The new identity reflects our expanded whole-person model while preserving the same client-centered approach and relationships you’ve known.</w:t>
      </w:r>
    </w:p>
    <w:p>
      <w:r>
        <w:t>Provide the new logo, website, service overview, contact information and updated referral instructions.</w:t>
      </w:r>
    </w:p>
    <w:p>
      <w:pPr>
        <w:pStyle w:val="Heading1"/>
      </w:pPr>
      <w:r>
        <w:t>19.13 — Internal Team Readiness</w:t>
      </w:r>
    </w:p>
    <w:tbl>
      <w:tblPr>
        <w:tblStyle w:val="TableGrid"/>
        <w:tblW w:type="auto" w:w="0"/>
        <w:jc w:val="center"/>
        <w:tblLook w:firstColumn="1" w:firstRow="1" w:lastColumn="0" w:lastRow="0" w:noHBand="0" w:noVBand="1" w:val="04A0"/>
      </w:tblPr>
      <w:tblGrid>
        <w:gridCol w:w="5083"/>
        <w:gridCol w:w="5083"/>
      </w:tblGrid>
      <w:tr>
        <w:tc>
          <w:tcPr>
            <w:tcW w:type="dxa" w:w="3312"/>
            <w:vAlign w:val="center"/>
            <w:shd w:fill="5A6046"/>
            <w:tcBorders>
              <w:top w:val="single" w:sz="4" w:color="5A6046"/>
              <w:left w:val="single" w:sz="4" w:color="5A6046"/>
              <w:bottom w:val="single" w:sz="4" w:color="5A6046"/>
              <w:right w:val="single" w:sz="4" w:color="5A6046"/>
            </w:tcBorders>
          </w:tcPr>
          <w:p>
            <w:pPr>
              <w:spacing w:after="0"/>
            </w:pPr>
            <w:r/>
            <w:r>
              <w:rPr>
                <w:rFonts w:ascii="Aptos" w:hAnsi="Aptos"/>
                <w:b/>
                <w:color w:val="FFFFFF"/>
                <w:sz w:val="16"/>
              </w:rPr>
              <w:t>Common question</w:t>
            </w:r>
          </w:p>
        </w:tc>
        <w:tc>
          <w:tcPr>
            <w:tcW w:type="dxa" w:w="7200"/>
            <w:vAlign w:val="center"/>
            <w:shd w:fill="5A6046"/>
            <w:tcBorders>
              <w:top w:val="single" w:sz="4" w:color="5A6046"/>
              <w:left w:val="single" w:sz="4" w:color="5A6046"/>
              <w:bottom w:val="single" w:sz="4" w:color="5A6046"/>
              <w:right w:val="single" w:sz="4" w:color="5A6046"/>
            </w:tcBorders>
          </w:tcPr>
          <w:p>
            <w:pPr>
              <w:spacing w:after="0"/>
            </w:pPr>
            <w:r/>
            <w:r>
              <w:rPr>
                <w:rFonts w:ascii="Aptos" w:hAnsi="Aptos"/>
                <w:b/>
                <w:color w:val="FFFFFF"/>
                <w:sz w:val="16"/>
              </w:rPr>
              <w:t>Approved answer</w:t>
            </w:r>
          </w:p>
        </w:tc>
      </w:tr>
      <w:tr>
        <w:tc>
          <w:tcPr>
            <w:tcW w:type="dxa" w:w="3312"/>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Why did TAB change its name?</w:t>
            </w:r>
          </w:p>
        </w:tc>
        <w:tc>
          <w:tcPr>
            <w:tcW w:type="dxa" w:w="7200"/>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Because the business has grown beyond “Massage &amp; Fitness,” and the new identity better reflects TAB’s whole-person approach.</w:t>
            </w:r>
          </w:p>
        </w:tc>
      </w:tr>
      <w:tr>
        <w:tc>
          <w:tcPr>
            <w:tcW w:type="dxa" w:w="3312"/>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What does TAB mean?</w:t>
            </w:r>
          </w:p>
        </w:tc>
        <w:tc>
          <w:tcPr>
            <w:tcW w:type="dxa" w:w="7200"/>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Transform. Align. Become.</w:t>
            </w:r>
          </w:p>
        </w:tc>
      </w:tr>
      <w:tr>
        <w:tc>
          <w:tcPr>
            <w:tcW w:type="dxa" w:w="3312"/>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Is it a new company?</w:t>
            </w:r>
          </w:p>
        </w:tc>
        <w:tc>
          <w:tcPr>
            <w:tcW w:type="dxa" w:w="7200"/>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No. It is an evolution of TAB.</w:t>
            </w:r>
          </w:p>
        </w:tc>
      </w:tr>
      <w:tr>
        <w:tc>
          <w:tcPr>
            <w:tcW w:type="dxa" w:w="3312"/>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Can I still just book massage?</w:t>
            </w:r>
          </w:p>
        </w:tc>
        <w:tc>
          <w:tcPr>
            <w:tcW w:type="dxa" w:w="7200"/>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Absolutely.</w:t>
            </w:r>
          </w:p>
        </w:tc>
      </w:tr>
      <w:tr>
        <w:tc>
          <w:tcPr>
            <w:tcW w:type="dxa" w:w="3312"/>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Do I have to use all four services?</w:t>
            </w:r>
          </w:p>
        </w:tc>
        <w:tc>
          <w:tcPr>
            <w:tcW w:type="dxa" w:w="7200"/>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No. Start with what fits your needs. Services connect only when doing so genuinely supports your goals.</w:t>
            </w:r>
          </w:p>
        </w:tc>
      </w:tr>
    </w:tbl>
    <w:p>
      <w:pPr>
        <w:spacing w:after="0"/>
      </w:pPr>
    </w:p>
    <w:p>
      <w:pPr>
        <w:pStyle w:val="Heading1"/>
      </w:pPr>
      <w:r>
        <w:t>19.14 — My TAB Transition</w:t>
      </w:r>
    </w:p>
    <w:p>
      <w:r>
        <w:t>My TAB does not have to launch on the same day as the public rebrand. Do not delay the whole brand transition solely because the client portal is still in development.</w:t>
      </w:r>
    </w:p>
    <w:p>
      <w:pPr>
        <w:pStyle w:val="ListBullet"/>
        <w:spacing w:after="50"/>
      </w:pPr>
      <w:r>
        <w:t>If My TAB is ready: integrate it into the launch as the authenticated client experience.</w:t>
      </w:r>
    </w:p>
    <w:p>
      <w:pPr>
        <w:pStyle w:val="ListBullet"/>
        <w:spacing w:after="50"/>
      </w:pPr>
      <w:r>
        <w:t>If My TAB is not ready: continue using a straightforward “Client Login” path into Timely.</w:t>
      </w:r>
    </w:p>
    <w:p>
      <w:pPr>
        <w:pStyle w:val="ListBullet"/>
        <w:spacing w:after="50"/>
      </w:pPr>
      <w:r>
        <w:t>Only publish “My TAB — coming soon” if there is a credible delivery roadmap and the message will not linger indefinitely.</w:t>
      </w:r>
    </w:p>
    <w:p>
      <w:pPr>
        <w:pStyle w:val="ListBullet"/>
        <w:spacing w:after="50"/>
      </w:pPr>
      <w:r>
        <w:t>Introduce My TAB later as a meaningful product/experience release rather than an empty placeholder.</w:t>
      </w:r>
    </w:p>
    <w:p>
      <w:pPr>
        <w:pStyle w:val="Heading1"/>
      </w:pPr>
      <w:r>
        <w:t>19.15 — Cutover Runbook</w:t>
      </w:r>
    </w:p>
    <w:p>
      <w:pPr>
        <w:pStyle w:val="Heading2"/>
      </w:pPr>
      <w:r>
        <w:t>72 hours before launch</w:t>
      </w:r>
    </w:p>
    <w:p>
      <w:pPr>
        <w:pStyle w:val="ListBullet"/>
        <w:spacing w:after="50"/>
      </w:pPr>
      <w:r>
        <w:t>Freeze nonessential website changes</w:t>
      </w:r>
    </w:p>
    <w:p>
      <w:pPr>
        <w:pStyle w:val="ListBullet"/>
        <w:spacing w:after="50"/>
      </w:pPr>
      <w:r>
        <w:t>Complete a full site backup</w:t>
      </w:r>
    </w:p>
    <w:p>
      <w:pPr>
        <w:pStyle w:val="ListBullet"/>
        <w:spacing w:after="50"/>
      </w:pPr>
      <w:r>
        <w:t>Export critical Timely/client configuration where appropriate</w:t>
      </w:r>
    </w:p>
    <w:p>
      <w:pPr>
        <w:pStyle w:val="ListBullet"/>
        <w:spacing w:after="50"/>
      </w:pPr>
      <w:r>
        <w:t>Verify DNS and domain access</w:t>
      </w:r>
    </w:p>
    <w:p>
      <w:pPr>
        <w:pStyle w:val="ListBullet"/>
        <w:spacing w:after="50"/>
      </w:pPr>
      <w:r>
        <w:t>Verify Google/Search Console access</w:t>
      </w:r>
    </w:p>
    <w:p>
      <w:pPr>
        <w:pStyle w:val="ListBullet"/>
        <w:spacing w:after="50"/>
      </w:pPr>
      <w:r>
        <w:t>Confirm Stripe admin access</w:t>
      </w:r>
    </w:p>
    <w:p>
      <w:pPr>
        <w:pStyle w:val="ListBullet"/>
        <w:spacing w:after="50"/>
      </w:pPr>
      <w:r>
        <w:t>Confirm social logins</w:t>
      </w:r>
    </w:p>
    <w:p>
      <w:pPr>
        <w:pStyle w:val="ListBullet"/>
        <w:spacing w:after="50"/>
      </w:pPr>
      <w:r>
        <w:t>Run final link crawl</w:t>
      </w:r>
    </w:p>
    <w:p>
      <w:pPr>
        <w:pStyle w:val="ListBullet"/>
        <w:spacing w:after="50"/>
      </w:pPr>
      <w:r>
        <w:t>Run final redirect test</w:t>
      </w:r>
    </w:p>
    <w:p>
      <w:pPr>
        <w:pStyle w:val="ListBullet"/>
        <w:spacing w:after="50"/>
      </w:pPr>
      <w:r>
        <w:t>Complete staff briefing</w:t>
      </w:r>
    </w:p>
    <w:p>
      <w:pPr>
        <w:pStyle w:val="ListBullet"/>
        <w:spacing w:after="50"/>
      </w:pPr>
      <w:r>
        <w:t>Queue client announcement</w:t>
      </w:r>
    </w:p>
    <w:p>
      <w:pPr>
        <w:pStyle w:val="Heading2"/>
      </w:pPr>
      <w:r>
        <w:t>Launch sequence</w:t>
      </w:r>
    </w:p>
    <w:p>
      <w:pPr>
        <w:pStyle w:val="ListNumber"/>
        <w:spacing w:after="50"/>
      </w:pPr>
      <w:r>
        <w:t>Publish new website</w:t>
      </w:r>
    </w:p>
    <w:p>
      <w:pPr>
        <w:pStyle w:val="ListNumber"/>
        <w:spacing w:after="50"/>
      </w:pPr>
      <w:r>
        <w:t>Enable permanent redirects</w:t>
      </w:r>
    </w:p>
    <w:p>
      <w:pPr>
        <w:pStyle w:val="ListNumber"/>
        <w:spacing w:after="50"/>
      </w:pPr>
      <w:r>
        <w:t>Confirm SSL/certificates</w:t>
      </w:r>
    </w:p>
    <w:p>
      <w:pPr>
        <w:pStyle w:val="ListNumber"/>
        <w:spacing w:after="50"/>
      </w:pPr>
      <w:r>
        <w:t>Verify booking links</w:t>
      </w:r>
    </w:p>
    <w:p>
      <w:pPr>
        <w:pStyle w:val="ListNumber"/>
        <w:spacing w:after="50"/>
      </w:pPr>
      <w:r>
        <w:t>Update Timely</w:t>
      </w:r>
    </w:p>
    <w:p>
      <w:pPr>
        <w:pStyle w:val="ListNumber"/>
        <w:spacing w:after="50"/>
      </w:pPr>
      <w:r>
        <w:t>Update Stripe/customer branding</w:t>
      </w:r>
    </w:p>
    <w:p>
      <w:pPr>
        <w:pStyle w:val="ListNumber"/>
        <w:spacing w:after="50"/>
      </w:pPr>
      <w:r>
        <w:t>Update email signatures</w:t>
      </w:r>
    </w:p>
    <w:p>
      <w:pPr>
        <w:pStyle w:val="ListNumber"/>
        <w:spacing w:after="50"/>
      </w:pPr>
      <w:r>
        <w:t>Update Google Business Profile</w:t>
      </w:r>
    </w:p>
    <w:p>
      <w:pPr>
        <w:pStyle w:val="ListNumber"/>
        <w:spacing w:after="50"/>
      </w:pPr>
      <w:r>
        <w:t>Update social profiles</w:t>
      </w:r>
    </w:p>
    <w:p>
      <w:pPr>
        <w:pStyle w:val="ListNumber"/>
        <w:spacing w:after="50"/>
      </w:pPr>
      <w:r>
        <w:t>Publish launch announcement</w:t>
      </w:r>
    </w:p>
    <w:p>
      <w:pPr>
        <w:pStyle w:val="ListNumber"/>
        <w:spacing w:after="50"/>
      </w:pPr>
      <w:r>
        <w:t>Submit sitemap/Search Console move</w:t>
      </w:r>
    </w:p>
    <w:p>
      <w:pPr>
        <w:pStyle w:val="ListNumber"/>
        <w:spacing w:after="50"/>
      </w:pPr>
      <w:r>
        <w:t>Run end-to-end client-path tests</w:t>
      </w:r>
    </w:p>
    <w:p>
      <w:pPr>
        <w:pStyle w:val="Heading2"/>
      </w:pPr>
      <w:r>
        <w:t>Critical smoke tests</w:t>
      </w:r>
    </w:p>
    <w:p>
      <w:pPr>
        <w:pStyle w:val="ListBullet"/>
        <w:spacing w:after="50"/>
      </w:pPr>
      <w:r>
        <w:t>Google → website</w:t>
      </w:r>
    </w:p>
    <w:p>
      <w:pPr>
        <w:pStyle w:val="ListBullet"/>
        <w:spacing w:after="50"/>
      </w:pPr>
      <w:r>
        <w:t>Homepage → service page</w:t>
      </w:r>
    </w:p>
    <w:p>
      <w:pPr>
        <w:pStyle w:val="ListBullet"/>
        <w:spacing w:after="50"/>
      </w:pPr>
      <w:r>
        <w:t>Service page → booking</w:t>
      </w:r>
    </w:p>
    <w:p>
      <w:pPr>
        <w:pStyle w:val="ListBullet"/>
        <w:spacing w:after="50"/>
      </w:pPr>
      <w:r>
        <w:t>Start Where You Are form</w:t>
      </w:r>
    </w:p>
    <w:p>
      <w:pPr>
        <w:pStyle w:val="ListBullet"/>
        <w:spacing w:after="50"/>
      </w:pPr>
      <w:r>
        <w:t>Contact form</w:t>
      </w:r>
    </w:p>
    <w:p>
      <w:pPr>
        <w:pStyle w:val="ListBullet"/>
        <w:spacing w:after="50"/>
      </w:pPr>
      <w:r>
        <w:t>Timely booking</w:t>
      </w:r>
    </w:p>
    <w:p>
      <w:pPr>
        <w:pStyle w:val="ListBullet"/>
        <w:spacing w:after="50"/>
      </w:pPr>
      <w:r>
        <w:t>Timely Client Login</w:t>
      </w:r>
    </w:p>
    <w:p>
      <w:pPr>
        <w:pStyle w:val="ListBullet"/>
        <w:spacing w:after="50"/>
      </w:pPr>
      <w:r>
        <w:t>Stripe checkout/payment link</w:t>
      </w:r>
    </w:p>
    <w:p>
      <w:pPr>
        <w:pStyle w:val="ListBullet"/>
        <w:spacing w:after="50"/>
      </w:pPr>
      <w:r>
        <w:t>Email confirmation</w:t>
      </w:r>
    </w:p>
    <w:p>
      <w:pPr>
        <w:pStyle w:val="ListBullet"/>
        <w:spacing w:after="50"/>
      </w:pPr>
      <w:r>
        <w:t>Legacy URL → correct new URL</w:t>
      </w:r>
    </w:p>
    <w:p>
      <w:pPr>
        <w:pStyle w:val="ListBullet"/>
        <w:spacing w:after="50"/>
      </w:pPr>
      <w:r>
        <w:t>Social → website</w:t>
      </w:r>
    </w:p>
    <w:p>
      <w:pPr>
        <w:pStyle w:val="ListBullet"/>
        <w:spacing w:after="50"/>
      </w:pPr>
      <w:r>
        <w:t>QR codes</w:t>
      </w:r>
    </w:p>
    <w:p>
      <w:pPr>
        <w:pStyle w:val="Heading1"/>
      </w:pPr>
      <w:r>
        <w:t>19.16 — First 30 Days</w:t>
      </w:r>
    </w:p>
    <w:p>
      <w:r>
        <w:t>Monitor daily at first, then weekly. The initial question is not only “Is the new brand working?” but also “Did the rebrand create confusion?”</w:t>
      </w:r>
    </w:p>
    <w:p>
      <w:pPr>
        <w:pStyle w:val="ListBullet"/>
        <w:spacing w:after="50"/>
      </w:pPr>
      <w:r>
        <w:t>404 errors and redirect failures</w:t>
      </w:r>
    </w:p>
    <w:p>
      <w:pPr>
        <w:pStyle w:val="ListBullet"/>
        <w:spacing w:after="50"/>
      </w:pPr>
      <w:r>
        <w:t>Organic/search traffic</w:t>
      </w:r>
    </w:p>
    <w:p>
      <w:pPr>
        <w:pStyle w:val="ListBullet"/>
        <w:spacing w:after="50"/>
      </w:pPr>
      <w:r>
        <w:t>Search Console coverage</w:t>
      </w:r>
    </w:p>
    <w:p>
      <w:pPr>
        <w:pStyle w:val="ListBullet"/>
        <w:spacing w:after="50"/>
      </w:pPr>
      <w:r>
        <w:t>Google Business Profile visibility</w:t>
      </w:r>
    </w:p>
    <w:p>
      <w:pPr>
        <w:pStyle w:val="ListBullet"/>
        <w:spacing w:after="50"/>
      </w:pPr>
      <w:r>
        <w:t>Form submissions</w:t>
      </w:r>
    </w:p>
    <w:p>
      <w:pPr>
        <w:pStyle w:val="ListBullet"/>
        <w:spacing w:after="50"/>
      </w:pPr>
      <w:r>
        <w:t>Appointment conversion</w:t>
      </w:r>
    </w:p>
    <w:p>
      <w:pPr>
        <w:pStyle w:val="ListBullet"/>
        <w:spacing w:after="50"/>
      </w:pPr>
      <w:r>
        <w:t>Timely link behavior</w:t>
      </w:r>
    </w:p>
    <w:p>
      <w:pPr>
        <w:pStyle w:val="ListBullet"/>
        <w:spacing w:after="50"/>
      </w:pPr>
      <w:r>
        <w:t>Old email usage</w:t>
      </w:r>
    </w:p>
    <w:p>
      <w:pPr>
        <w:pStyle w:val="ListBullet"/>
        <w:spacing w:after="50"/>
      </w:pPr>
      <w:r>
        <w:t>Stripe/support questions</w:t>
      </w:r>
    </w:p>
    <w:p>
      <w:pPr>
        <w:pStyle w:val="ListBullet"/>
        <w:spacing w:after="50"/>
      </w:pPr>
      <w:r>
        <w:t>Client questions or “Are you the same company?” inquiries</w:t>
      </w:r>
    </w:p>
    <w:tbl>
      <w:tblPr>
        <w:tblW w:type="auto" w:w="0"/>
        <w:jc w:val="center"/>
        <w:tblLook w:firstColumn="1" w:firstRow="1" w:lastColumn="0" w:lastRow="0" w:noHBand="0" w:noVBand="1" w:val="04A0"/>
      </w:tblPr>
      <w:tblGrid>
        <w:gridCol w:w="10166"/>
      </w:tblGrid>
      <w:tr>
        <w:tc>
          <w:tcPr>
            <w:tcW w:type="dxa" w:w="10166"/>
            <w:shd w:fill="EEF3EB"/>
            <w:tcBorders>
              <w:top w:val="single" w:sz="8" w:color="5A6046"/>
              <w:left w:val="single" w:sz="8" w:color="5A6046"/>
              <w:bottom w:val="single" w:sz="8" w:color="5A6046"/>
              <w:right w:val="single" w:sz="8" w:color="5A6046"/>
            </w:tcBorders>
          </w:tcPr>
          <w:p>
            <w:pPr>
              <w:pStyle w:val="CalloutTitle"/>
            </w:pPr>
            <w:r>
              <w:t>Key launch metric</w:t>
            </w:r>
          </w:p>
          <w:p>
            <w:pPr>
              <w:spacing w:after="0" w:line="252" w:lineRule="auto"/>
            </w:pPr>
            <w:r>
              <w:t>Track the volume and source of rebrand-related confusion. Each repeated question is evidence of a touchpoint that may need clearer transition messaging.</w:t>
            </w:r>
          </w:p>
        </w:tc>
      </w:tr>
    </w:tbl>
    <w:p>
      <w:pPr>
        <w:pStyle w:val="Heading1"/>
      </w:pPr>
      <w:r>
        <w:t>19.17 — Days 30–90</w:t>
      </w:r>
    </w:p>
    <w:p>
      <w:pPr>
        <w:pStyle w:val="ListBullet"/>
        <w:spacing w:after="50"/>
      </w:pPr>
      <w:r>
        <w:t>Reduce “formerly TAB Massage &amp; Fitness” where it is no longer adding value.</w:t>
      </w:r>
    </w:p>
    <w:p>
      <w:pPr>
        <w:pStyle w:val="ListBullet"/>
        <w:spacing w:after="50"/>
      </w:pPr>
      <w:r>
        <w:t>Continue external-link and directory updates.</w:t>
      </w:r>
    </w:p>
    <w:p>
      <w:pPr>
        <w:pStyle w:val="ListBullet"/>
        <w:spacing w:after="50"/>
      </w:pPr>
      <w:r>
        <w:t>Continue referral-partner outreach.</w:t>
      </w:r>
    </w:p>
    <w:p>
      <w:pPr>
        <w:pStyle w:val="ListBullet"/>
        <w:spacing w:after="50"/>
      </w:pPr>
      <w:r>
        <w:t>Monitor service-page and booking performance.</w:t>
      </w:r>
    </w:p>
    <w:p>
      <w:pPr>
        <w:pStyle w:val="ListBullet"/>
        <w:spacing w:after="50"/>
      </w:pPr>
      <w:r>
        <w:t>Collect client feedback on the new positioning and digital experience.</w:t>
      </w:r>
    </w:p>
    <w:p>
      <w:pPr>
        <w:pStyle w:val="Heading1"/>
      </w:pPr>
      <w:r>
        <w:t>19.18 — Days 90–180</w:t>
      </w:r>
    </w:p>
    <w:p>
      <w:r>
        <w:t>By this point, TAB Wellness Collective should stand on its own. Keep tabmassage.com, legacy URL redirects, legacy email aliases, the Our Story history and historical legal/accounting records permanently or for as long as they remain useful.</w:t>
      </w:r>
    </w:p>
    <w:p>
      <w:pPr>
        <w:pStyle w:val="Heading1"/>
      </w:pPr>
      <w:r>
        <w:t>19.19 — Rebrand Master Inventory</w:t>
      </w:r>
    </w:p>
    <w:p>
      <w:r>
        <w:t>Create a master tracker that becomes the control center for the launch. Every meaningful touchpoint should have an owner, target state and verification status.</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c>
          <w:tcPr>
            <w:tcW w:type="dxa" w:w="1800"/>
            <w:vAlign w:val="center"/>
            <w:shd w:fill="5A6046"/>
            <w:tcBorders>
              <w:top w:val="single" w:sz="4" w:color="5A6046"/>
              <w:left w:val="single" w:sz="4" w:color="5A6046"/>
              <w:bottom w:val="single" w:sz="4" w:color="5A6046"/>
              <w:right w:val="single" w:sz="4" w:color="5A6046"/>
            </w:tcBorders>
          </w:tcPr>
          <w:p>
            <w:pPr>
              <w:spacing w:after="0"/>
            </w:pPr>
            <w:r/>
            <w:r>
              <w:rPr>
                <w:rFonts w:ascii="Aptos" w:hAnsi="Aptos"/>
                <w:b/>
                <w:color w:val="FFFFFF"/>
                <w:sz w:val="16"/>
              </w:rPr>
              <w:t>Touchpoint</w:t>
            </w:r>
          </w:p>
        </w:tc>
        <w:tc>
          <w:tcPr>
            <w:tcW w:type="dxa" w:w="1944"/>
            <w:vAlign w:val="center"/>
            <w:shd w:fill="5A6046"/>
            <w:tcBorders>
              <w:top w:val="single" w:sz="4" w:color="5A6046"/>
              <w:left w:val="single" w:sz="4" w:color="5A6046"/>
              <w:bottom w:val="single" w:sz="4" w:color="5A6046"/>
              <w:right w:val="single" w:sz="4" w:color="5A6046"/>
            </w:tcBorders>
          </w:tcPr>
          <w:p>
            <w:pPr>
              <w:spacing w:after="0"/>
            </w:pPr>
            <w:r/>
            <w:r>
              <w:rPr>
                <w:rFonts w:ascii="Aptos" w:hAnsi="Aptos"/>
                <w:b/>
                <w:color w:val="FFFFFF"/>
                <w:sz w:val="16"/>
              </w:rPr>
              <w:t>Current state</w:t>
            </w:r>
          </w:p>
        </w:tc>
        <w:tc>
          <w:tcPr>
            <w:tcW w:type="dxa" w:w="2232"/>
            <w:vAlign w:val="center"/>
            <w:shd w:fill="5A6046"/>
            <w:tcBorders>
              <w:top w:val="single" w:sz="4" w:color="5A6046"/>
              <w:left w:val="single" w:sz="4" w:color="5A6046"/>
              <w:bottom w:val="single" w:sz="4" w:color="5A6046"/>
              <w:right w:val="single" w:sz="4" w:color="5A6046"/>
            </w:tcBorders>
          </w:tcPr>
          <w:p>
            <w:pPr>
              <w:spacing w:after="0"/>
            </w:pPr>
            <w:r/>
            <w:r>
              <w:rPr>
                <w:rFonts w:ascii="Aptos" w:hAnsi="Aptos"/>
                <w:b/>
                <w:color w:val="FFFFFF"/>
                <w:sz w:val="16"/>
              </w:rPr>
              <w:t>New state</w:t>
            </w:r>
          </w:p>
        </w:tc>
        <w:tc>
          <w:tcPr>
            <w:tcW w:type="dxa" w:w="1296"/>
            <w:vAlign w:val="center"/>
            <w:shd w:fill="5A6046"/>
            <w:tcBorders>
              <w:top w:val="single" w:sz="4" w:color="5A6046"/>
              <w:left w:val="single" w:sz="4" w:color="5A6046"/>
              <w:bottom w:val="single" w:sz="4" w:color="5A6046"/>
              <w:right w:val="single" w:sz="4" w:color="5A6046"/>
            </w:tcBorders>
          </w:tcPr>
          <w:p>
            <w:pPr>
              <w:spacing w:after="0"/>
            </w:pPr>
            <w:r/>
            <w:r>
              <w:rPr>
                <w:rFonts w:ascii="Aptos" w:hAnsi="Aptos"/>
                <w:b/>
                <w:color w:val="FFFFFF"/>
                <w:sz w:val="16"/>
              </w:rPr>
              <w:t>Owner</w:t>
            </w:r>
          </w:p>
        </w:tc>
        <w:tc>
          <w:tcPr>
            <w:tcW w:type="dxa" w:w="936"/>
            <w:vAlign w:val="center"/>
            <w:shd w:fill="5A6046"/>
            <w:tcBorders>
              <w:top w:val="single" w:sz="4" w:color="5A6046"/>
              <w:left w:val="single" w:sz="4" w:color="5A6046"/>
              <w:bottom w:val="single" w:sz="4" w:color="5A6046"/>
              <w:right w:val="single" w:sz="4" w:color="5A6046"/>
            </w:tcBorders>
          </w:tcPr>
          <w:p>
            <w:pPr>
              <w:spacing w:after="0"/>
            </w:pPr>
            <w:r/>
            <w:r>
              <w:rPr>
                <w:rFonts w:ascii="Aptos" w:hAnsi="Aptos"/>
                <w:b/>
                <w:color w:val="FFFFFF"/>
                <w:sz w:val="16"/>
              </w:rPr>
              <w:t>Ready?</w:t>
            </w:r>
          </w:p>
        </w:tc>
        <w:tc>
          <w:tcPr>
            <w:tcW w:type="dxa" w:w="936"/>
            <w:vAlign w:val="center"/>
            <w:shd w:fill="5A6046"/>
            <w:tcBorders>
              <w:top w:val="single" w:sz="4" w:color="5A6046"/>
              <w:left w:val="single" w:sz="4" w:color="5A6046"/>
              <w:bottom w:val="single" w:sz="4" w:color="5A6046"/>
              <w:right w:val="single" w:sz="4" w:color="5A6046"/>
            </w:tcBorders>
          </w:tcPr>
          <w:p>
            <w:pPr>
              <w:spacing w:after="0"/>
            </w:pPr>
            <w:r/>
            <w:r>
              <w:rPr>
                <w:rFonts w:ascii="Aptos" w:hAnsi="Aptos"/>
                <w:b/>
                <w:color w:val="FFFFFF"/>
                <w:sz w:val="16"/>
              </w:rPr>
              <w:t>Cutover</w:t>
            </w:r>
          </w:p>
        </w:tc>
        <w:tc>
          <w:tcPr>
            <w:tcW w:type="dxa" w:w="1008"/>
            <w:vAlign w:val="center"/>
            <w:shd w:fill="5A6046"/>
            <w:tcBorders>
              <w:top w:val="single" w:sz="4" w:color="5A6046"/>
              <w:left w:val="single" w:sz="4" w:color="5A6046"/>
              <w:bottom w:val="single" w:sz="4" w:color="5A6046"/>
              <w:right w:val="single" w:sz="4" w:color="5A6046"/>
            </w:tcBorders>
          </w:tcPr>
          <w:p>
            <w:pPr>
              <w:spacing w:after="0"/>
            </w:pPr>
            <w:r/>
            <w:r>
              <w:rPr>
                <w:rFonts w:ascii="Aptos" w:hAnsi="Aptos"/>
                <w:b/>
                <w:color w:val="FFFFFF"/>
                <w:sz w:val="16"/>
              </w:rPr>
              <w:t>Verified?</w:t>
            </w:r>
          </w:p>
        </w:tc>
      </w:tr>
      <w:tr>
        <w:tc>
          <w:tcPr>
            <w:tcW w:type="dxa" w:w="1800"/>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4"/>
              </w:rPr>
              <w:t>Website</w:t>
            </w:r>
          </w:p>
        </w:tc>
        <w:tc>
          <w:tcPr>
            <w:tcW w:type="dxa" w:w="1944"/>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4"/>
              </w:rPr>
              <w:t>TAB Massage &amp; Fitness</w:t>
            </w:r>
          </w:p>
        </w:tc>
        <w:tc>
          <w:tcPr>
            <w:tcW w:type="dxa" w:w="2232"/>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4"/>
              </w:rPr>
              <w:t>TAB Wellness Collective</w:t>
            </w:r>
          </w:p>
        </w:tc>
        <w:tc>
          <w:tcPr>
            <w:tcW w:type="dxa" w:w="1296"/>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4"/>
              </w:rPr>
              <w:t>Web</w:t>
            </w:r>
          </w:p>
        </w:tc>
        <w:tc>
          <w:tcPr>
            <w:tcW w:type="dxa" w:w="936"/>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4"/>
              </w:rPr>
            </w:r>
          </w:p>
        </w:tc>
        <w:tc>
          <w:tcPr>
            <w:tcW w:type="dxa" w:w="936"/>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4"/>
              </w:rPr>
            </w:r>
          </w:p>
        </w:tc>
        <w:tc>
          <w:tcPr>
            <w:tcW w:type="dxa" w:w="1008"/>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4"/>
              </w:rPr>
            </w:r>
          </w:p>
        </w:tc>
      </w:tr>
      <w:tr>
        <w:tc>
          <w:tcPr>
            <w:tcW w:type="dxa" w:w="1800"/>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4"/>
              </w:rPr>
              <w:t>Primary domain</w:t>
            </w:r>
          </w:p>
        </w:tc>
        <w:tc>
          <w:tcPr>
            <w:tcW w:type="dxa" w:w="1944"/>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4"/>
              </w:rPr>
              <w:t>tabmassage.com</w:t>
            </w:r>
          </w:p>
        </w:tc>
        <w:tc>
          <w:tcPr>
            <w:tcW w:type="dxa" w:w="2232"/>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4"/>
              </w:rPr>
              <w:t>New canonical domain</w:t>
            </w:r>
          </w:p>
        </w:tc>
        <w:tc>
          <w:tcPr>
            <w:tcW w:type="dxa" w:w="1296"/>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4"/>
              </w:rPr>
              <w:t>Web/IT</w:t>
            </w:r>
          </w:p>
        </w:tc>
        <w:tc>
          <w:tcPr>
            <w:tcW w:type="dxa" w:w="936"/>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4"/>
              </w:rPr>
            </w:r>
          </w:p>
        </w:tc>
        <w:tc>
          <w:tcPr>
            <w:tcW w:type="dxa" w:w="936"/>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4"/>
              </w:rPr>
            </w:r>
          </w:p>
        </w:tc>
        <w:tc>
          <w:tcPr>
            <w:tcW w:type="dxa" w:w="1008"/>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4"/>
              </w:rPr>
            </w:r>
          </w:p>
        </w:tc>
      </w:tr>
      <w:tr>
        <w:tc>
          <w:tcPr>
            <w:tcW w:type="dxa" w:w="1800"/>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4"/>
              </w:rPr>
              <w:t>Google Business Profile</w:t>
            </w:r>
          </w:p>
        </w:tc>
        <w:tc>
          <w:tcPr>
            <w:tcW w:type="dxa" w:w="1944"/>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4"/>
              </w:rPr>
              <w:t>Legacy name</w:t>
            </w:r>
          </w:p>
        </w:tc>
        <w:tc>
          <w:tcPr>
            <w:tcW w:type="dxa" w:w="2232"/>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4"/>
              </w:rPr>
              <w:t>New name/brand</w:t>
            </w:r>
          </w:p>
        </w:tc>
        <w:tc>
          <w:tcPr>
            <w:tcW w:type="dxa" w:w="1296"/>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4"/>
              </w:rPr>
              <w:t>Owner/Marketing</w:t>
            </w:r>
          </w:p>
        </w:tc>
        <w:tc>
          <w:tcPr>
            <w:tcW w:type="dxa" w:w="936"/>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4"/>
              </w:rPr>
            </w:r>
          </w:p>
        </w:tc>
        <w:tc>
          <w:tcPr>
            <w:tcW w:type="dxa" w:w="936"/>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4"/>
              </w:rPr>
            </w:r>
          </w:p>
        </w:tc>
        <w:tc>
          <w:tcPr>
            <w:tcW w:type="dxa" w:w="1008"/>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4"/>
              </w:rPr>
            </w:r>
          </w:p>
        </w:tc>
      </w:tr>
      <w:tr>
        <w:tc>
          <w:tcPr>
            <w:tcW w:type="dxa" w:w="1800"/>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4"/>
              </w:rPr>
              <w:t>Timely</w:t>
            </w:r>
          </w:p>
        </w:tc>
        <w:tc>
          <w:tcPr>
            <w:tcW w:type="dxa" w:w="1944"/>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4"/>
              </w:rPr>
              <w:t>Legacy brand</w:t>
            </w:r>
          </w:p>
        </w:tc>
        <w:tc>
          <w:tcPr>
            <w:tcW w:type="dxa" w:w="2232"/>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4"/>
              </w:rPr>
              <w:t>New name, links and templates</w:t>
            </w:r>
          </w:p>
        </w:tc>
        <w:tc>
          <w:tcPr>
            <w:tcW w:type="dxa" w:w="1296"/>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4"/>
              </w:rPr>
              <w:t>Operations</w:t>
            </w:r>
          </w:p>
        </w:tc>
        <w:tc>
          <w:tcPr>
            <w:tcW w:type="dxa" w:w="936"/>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4"/>
              </w:rPr>
            </w:r>
          </w:p>
        </w:tc>
        <w:tc>
          <w:tcPr>
            <w:tcW w:type="dxa" w:w="936"/>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4"/>
              </w:rPr>
            </w:r>
          </w:p>
        </w:tc>
        <w:tc>
          <w:tcPr>
            <w:tcW w:type="dxa" w:w="1008"/>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4"/>
              </w:rPr>
            </w:r>
          </w:p>
        </w:tc>
      </w:tr>
      <w:tr>
        <w:tc>
          <w:tcPr>
            <w:tcW w:type="dxa" w:w="1800"/>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4"/>
              </w:rPr>
              <w:t>Stripe</w:t>
            </w:r>
          </w:p>
        </w:tc>
        <w:tc>
          <w:tcPr>
            <w:tcW w:type="dxa" w:w="1944"/>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4"/>
              </w:rPr>
              <w:t>Legacy public branding</w:t>
            </w:r>
          </w:p>
        </w:tc>
        <w:tc>
          <w:tcPr>
            <w:tcW w:type="dxa" w:w="2232"/>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4"/>
              </w:rPr>
              <w:t>New public branding</w:t>
            </w:r>
          </w:p>
        </w:tc>
        <w:tc>
          <w:tcPr>
            <w:tcW w:type="dxa" w:w="1296"/>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4"/>
              </w:rPr>
              <w:t>Finance</w:t>
            </w:r>
          </w:p>
        </w:tc>
        <w:tc>
          <w:tcPr>
            <w:tcW w:type="dxa" w:w="936"/>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4"/>
              </w:rPr>
            </w:r>
          </w:p>
        </w:tc>
        <w:tc>
          <w:tcPr>
            <w:tcW w:type="dxa" w:w="936"/>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4"/>
              </w:rPr>
            </w:r>
          </w:p>
        </w:tc>
        <w:tc>
          <w:tcPr>
            <w:tcW w:type="dxa" w:w="1008"/>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4"/>
              </w:rPr>
            </w:r>
          </w:p>
        </w:tc>
      </w:tr>
      <w:tr>
        <w:tc>
          <w:tcPr>
            <w:tcW w:type="dxa" w:w="1800"/>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4"/>
              </w:rPr>
              <w:t>Email</w:t>
            </w:r>
          </w:p>
        </w:tc>
        <w:tc>
          <w:tcPr>
            <w:tcW w:type="dxa" w:w="1944"/>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4"/>
              </w:rPr>
              <w:t>Legacy domain</w:t>
            </w:r>
          </w:p>
        </w:tc>
        <w:tc>
          <w:tcPr>
            <w:tcW w:type="dxa" w:w="2232"/>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4"/>
              </w:rPr>
              <w:t>New domain + legacy aliases</w:t>
            </w:r>
          </w:p>
        </w:tc>
        <w:tc>
          <w:tcPr>
            <w:tcW w:type="dxa" w:w="1296"/>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4"/>
              </w:rPr>
              <w:t>IT</w:t>
            </w:r>
          </w:p>
        </w:tc>
        <w:tc>
          <w:tcPr>
            <w:tcW w:type="dxa" w:w="936"/>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4"/>
              </w:rPr>
            </w:r>
          </w:p>
        </w:tc>
        <w:tc>
          <w:tcPr>
            <w:tcW w:type="dxa" w:w="936"/>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4"/>
              </w:rPr>
            </w:r>
          </w:p>
        </w:tc>
        <w:tc>
          <w:tcPr>
            <w:tcW w:type="dxa" w:w="1008"/>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4"/>
              </w:rPr>
            </w:r>
          </w:p>
        </w:tc>
      </w:tr>
      <w:tr>
        <w:tc>
          <w:tcPr>
            <w:tcW w:type="dxa" w:w="1800"/>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4"/>
              </w:rPr>
              <w:t>Instagram/Facebook/etc.</w:t>
            </w:r>
          </w:p>
        </w:tc>
        <w:tc>
          <w:tcPr>
            <w:tcW w:type="dxa" w:w="1944"/>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4"/>
              </w:rPr>
              <w:t>Legacy name/art</w:t>
            </w:r>
          </w:p>
        </w:tc>
        <w:tc>
          <w:tcPr>
            <w:tcW w:type="dxa" w:w="2232"/>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4"/>
              </w:rPr>
              <w:t>New name/art/links</w:t>
            </w:r>
          </w:p>
        </w:tc>
        <w:tc>
          <w:tcPr>
            <w:tcW w:type="dxa" w:w="1296"/>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4"/>
              </w:rPr>
              <w:t>Marketing</w:t>
            </w:r>
          </w:p>
        </w:tc>
        <w:tc>
          <w:tcPr>
            <w:tcW w:type="dxa" w:w="936"/>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4"/>
              </w:rPr>
            </w:r>
          </w:p>
        </w:tc>
        <w:tc>
          <w:tcPr>
            <w:tcW w:type="dxa" w:w="936"/>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4"/>
              </w:rPr>
            </w:r>
          </w:p>
        </w:tc>
        <w:tc>
          <w:tcPr>
            <w:tcW w:type="dxa" w:w="1008"/>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4"/>
              </w:rPr>
            </w:r>
          </w:p>
        </w:tc>
      </w:tr>
      <w:tr>
        <w:tc>
          <w:tcPr>
            <w:tcW w:type="dxa" w:w="1800"/>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4"/>
              </w:rPr>
              <w:t>Exterior signage</w:t>
            </w:r>
          </w:p>
        </w:tc>
        <w:tc>
          <w:tcPr>
            <w:tcW w:type="dxa" w:w="1944"/>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4"/>
              </w:rPr>
              <w:t>Legacy</w:t>
            </w:r>
          </w:p>
        </w:tc>
        <w:tc>
          <w:tcPr>
            <w:tcW w:type="dxa" w:w="2232"/>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4"/>
              </w:rPr>
              <w:t>New identity</w:t>
            </w:r>
          </w:p>
        </w:tc>
        <w:tc>
          <w:tcPr>
            <w:tcW w:type="dxa" w:w="1296"/>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4"/>
              </w:rPr>
              <w:t>Owner/Vendor</w:t>
            </w:r>
          </w:p>
        </w:tc>
        <w:tc>
          <w:tcPr>
            <w:tcW w:type="dxa" w:w="936"/>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4"/>
              </w:rPr>
            </w:r>
          </w:p>
        </w:tc>
        <w:tc>
          <w:tcPr>
            <w:tcW w:type="dxa" w:w="936"/>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4"/>
              </w:rPr>
            </w:r>
          </w:p>
        </w:tc>
        <w:tc>
          <w:tcPr>
            <w:tcW w:type="dxa" w:w="1008"/>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4"/>
              </w:rPr>
            </w:r>
          </w:p>
        </w:tc>
      </w:tr>
      <w:tr>
        <w:tc>
          <w:tcPr>
            <w:tcW w:type="dxa" w:w="1800"/>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4"/>
              </w:rPr>
              <w:t>Forms and PDFs</w:t>
            </w:r>
          </w:p>
        </w:tc>
        <w:tc>
          <w:tcPr>
            <w:tcW w:type="dxa" w:w="1944"/>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4"/>
              </w:rPr>
              <w:t>Legacy templates</w:t>
            </w:r>
          </w:p>
        </w:tc>
        <w:tc>
          <w:tcPr>
            <w:tcW w:type="dxa" w:w="2232"/>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4"/>
              </w:rPr>
              <w:t>New branded templates</w:t>
            </w:r>
          </w:p>
        </w:tc>
        <w:tc>
          <w:tcPr>
            <w:tcW w:type="dxa" w:w="1296"/>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4"/>
              </w:rPr>
              <w:t>Operations</w:t>
            </w:r>
          </w:p>
        </w:tc>
        <w:tc>
          <w:tcPr>
            <w:tcW w:type="dxa" w:w="936"/>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4"/>
              </w:rPr>
            </w:r>
          </w:p>
        </w:tc>
        <w:tc>
          <w:tcPr>
            <w:tcW w:type="dxa" w:w="936"/>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4"/>
              </w:rPr>
            </w:r>
          </w:p>
        </w:tc>
        <w:tc>
          <w:tcPr>
            <w:tcW w:type="dxa" w:w="1008"/>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4"/>
              </w:rPr>
            </w:r>
          </w:p>
        </w:tc>
      </w:tr>
    </w:tbl>
    <w:p>
      <w:pPr>
        <w:spacing w:after="0"/>
      </w:pPr>
    </w:p>
    <w:p>
      <w:pPr>
        <w:pStyle w:val="Heading1"/>
      </w:pPr>
      <w:r>
        <w:t>19.20 — Rebrand Governance Rules</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5A6046"/>
            <w:tcBorders>
              <w:top w:val="single" w:sz="4" w:color="5A6046"/>
              <w:left w:val="single" w:sz="4" w:color="5A6046"/>
              <w:bottom w:val="single" w:sz="4" w:color="5A6046"/>
              <w:right w:val="single" w:sz="4" w:color="5A6046"/>
            </w:tcBorders>
          </w:tcPr>
          <w:p>
            <w:pPr>
              <w:spacing w:after="0"/>
            </w:pPr>
            <w:r/>
            <w:r>
              <w:rPr>
                <w:rFonts w:ascii="Aptos" w:hAnsi="Aptos"/>
                <w:b/>
                <w:color w:val="FFFFFF"/>
                <w:sz w:val="16"/>
              </w:rPr>
              <w:t>Rule</w:t>
            </w:r>
          </w:p>
        </w:tc>
        <w:tc>
          <w:tcPr>
            <w:tcW w:type="dxa" w:w="7488"/>
            <w:vAlign w:val="center"/>
            <w:shd w:fill="5A6046"/>
            <w:tcBorders>
              <w:top w:val="single" w:sz="4" w:color="5A6046"/>
              <w:left w:val="single" w:sz="4" w:color="5A6046"/>
              <w:bottom w:val="single" w:sz="4" w:color="5A6046"/>
              <w:right w:val="single" w:sz="4" w:color="5A6046"/>
            </w:tcBorders>
          </w:tcPr>
          <w:p>
            <w:pPr>
              <w:spacing w:after="0"/>
            </w:pPr>
            <w:r/>
            <w:r>
              <w:rPr>
                <w:rFonts w:ascii="Aptos" w:hAnsi="Aptos"/>
                <w:b/>
                <w:color w:val="FFFFFF"/>
                <w:sz w:val="16"/>
              </w:rPr>
              <w:t>Standard</w:t>
            </w:r>
          </w:p>
        </w:tc>
      </w:tr>
      <w:tr>
        <w:tc>
          <w:tcPr>
            <w:tcW w:type="dxa" w:w="2880"/>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1. One canonical name</w:t>
            </w:r>
          </w:p>
        </w:tc>
        <w:tc>
          <w:tcPr>
            <w:tcW w:type="dxa" w:w="7488"/>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Use TAB Wellness Collective. Do not create interchangeable public variations.</w:t>
            </w:r>
          </w:p>
        </w:tc>
      </w:tr>
      <w:tr>
        <w:tc>
          <w:tcPr>
            <w:tcW w:type="dxa" w:w="2880"/>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2. One migration story</w:t>
            </w:r>
          </w:p>
        </w:tc>
        <w:tc>
          <w:tcPr>
            <w:tcW w:type="dxa" w:w="7488"/>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TAB has evolved — not disappeared.</w:t>
            </w:r>
          </w:p>
        </w:tc>
      </w:tr>
      <w:tr>
        <w:tc>
          <w:tcPr>
            <w:tcW w:type="dxa" w:w="2880"/>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3. One source of truth</w:t>
            </w:r>
          </w:p>
        </w:tc>
        <w:tc>
          <w:tcPr>
            <w:tcW w:type="dxa" w:w="7488"/>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Use the master transition inventory to control every touchpoint.</w:t>
            </w:r>
          </w:p>
        </w:tc>
      </w:tr>
      <w:tr>
        <w:tc>
          <w:tcPr>
            <w:tcW w:type="dxa" w:w="2880"/>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4. Preserve legacy equity</w:t>
            </w:r>
          </w:p>
        </w:tc>
        <w:tc>
          <w:tcPr>
            <w:tcW w:type="dxa" w:w="7488"/>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Redirect and forward rather than delete or recreate unnecessarily.</w:t>
            </w:r>
          </w:p>
        </w:tc>
      </w:tr>
      <w:tr>
        <w:tc>
          <w:tcPr>
            <w:tcW w:type="dxa" w:w="2880"/>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5. Client continuity comes first</w:t>
            </w:r>
          </w:p>
        </w:tc>
        <w:tc>
          <w:tcPr>
            <w:tcW w:type="dxa" w:w="7488"/>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No branding change should make a current client wonder whether their appointment, practitioner, account, payment relationship or access still exists.</w:t>
            </w:r>
          </w:p>
        </w:tc>
      </w:tr>
    </w:tbl>
    <w:p>
      <w:pPr>
        <w:spacing w:after="0"/>
      </w:pPr>
    </w:p>
    <w:p>
      <w:pPr>
        <w:pStyle w:val="Heading1"/>
      </w:pPr>
      <w:r>
        <w:t>19.21 — Recommended Ownership Model</w:t>
      </w:r>
    </w:p>
    <w:p>
      <w:r>
        <w:t>Even in a small business, assigning explicit ownership prevents launch-day gaps. One person can hold multiple roles, but every domain should have a named accountable owner.</w:t>
      </w:r>
    </w:p>
    <w:tbl>
      <w:tblPr>
        <w:tblStyle w:val="TableGrid"/>
        <w:tblW w:type="auto" w:w="0"/>
        <w:jc w:val="center"/>
        <w:tblLook w:firstColumn="1" w:firstRow="1" w:lastColumn="0" w:lastRow="0" w:noHBand="0" w:noVBand="1" w:val="04A0"/>
      </w:tblPr>
      <w:tblGrid>
        <w:gridCol w:w="5083"/>
        <w:gridCol w:w="5083"/>
      </w:tblGrid>
      <w:tr>
        <w:tc>
          <w:tcPr>
            <w:tcW w:type="dxa" w:w="4752"/>
            <w:vAlign w:val="center"/>
            <w:shd w:fill="5A6046"/>
            <w:tcBorders>
              <w:top w:val="single" w:sz="4" w:color="5A6046"/>
              <w:left w:val="single" w:sz="4" w:color="5A6046"/>
              <w:bottom w:val="single" w:sz="4" w:color="5A6046"/>
              <w:right w:val="single" w:sz="4" w:color="5A6046"/>
            </w:tcBorders>
          </w:tcPr>
          <w:p>
            <w:pPr>
              <w:spacing w:after="0"/>
            </w:pPr>
            <w:r/>
            <w:r>
              <w:rPr>
                <w:rFonts w:ascii="Aptos" w:hAnsi="Aptos"/>
                <w:b/>
                <w:color w:val="FFFFFF"/>
                <w:sz w:val="16"/>
              </w:rPr>
              <w:t>Workstream</w:t>
            </w:r>
          </w:p>
        </w:tc>
        <w:tc>
          <w:tcPr>
            <w:tcW w:type="dxa" w:w="5616"/>
            <w:vAlign w:val="center"/>
            <w:shd w:fill="5A6046"/>
            <w:tcBorders>
              <w:top w:val="single" w:sz="4" w:color="5A6046"/>
              <w:left w:val="single" w:sz="4" w:color="5A6046"/>
              <w:bottom w:val="single" w:sz="4" w:color="5A6046"/>
              <w:right w:val="single" w:sz="4" w:color="5A6046"/>
            </w:tcBorders>
          </w:tcPr>
          <w:p>
            <w:pPr>
              <w:spacing w:after="0"/>
            </w:pPr>
            <w:r/>
            <w:r>
              <w:rPr>
                <w:rFonts w:ascii="Aptos" w:hAnsi="Aptos"/>
                <w:b/>
                <w:color w:val="FFFFFF"/>
                <w:sz w:val="16"/>
              </w:rPr>
              <w:t>Accountable role</w:t>
            </w:r>
          </w:p>
        </w:tc>
      </w:tr>
      <w:tr>
        <w:tc>
          <w:tcPr>
            <w:tcW w:type="dxa" w:w="4752"/>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Brand / final approvals</w:t>
            </w:r>
          </w:p>
        </w:tc>
        <w:tc>
          <w:tcPr>
            <w:tcW w:type="dxa" w:w="5616"/>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Business owner / brand lead</w:t>
            </w:r>
          </w:p>
        </w:tc>
      </w:tr>
      <w:tr>
        <w:tc>
          <w:tcPr>
            <w:tcW w:type="dxa" w:w="4752"/>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Website, domain, redirects, analytics</w:t>
            </w:r>
          </w:p>
        </w:tc>
        <w:tc>
          <w:tcPr>
            <w:tcW w:type="dxa" w:w="5616"/>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Web/technical owner</w:t>
            </w:r>
          </w:p>
        </w:tc>
      </w:tr>
      <w:tr>
        <w:tc>
          <w:tcPr>
            <w:tcW w:type="dxa" w:w="4752"/>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Timely configuration</w:t>
            </w:r>
          </w:p>
        </w:tc>
        <w:tc>
          <w:tcPr>
            <w:tcW w:type="dxa" w:w="5616"/>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Operations / scheduling owner</w:t>
            </w:r>
          </w:p>
        </w:tc>
      </w:tr>
      <w:tr>
        <w:tc>
          <w:tcPr>
            <w:tcW w:type="dxa" w:w="4752"/>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Stripe and financial touchpoints</w:t>
            </w:r>
          </w:p>
        </w:tc>
        <w:tc>
          <w:tcPr>
            <w:tcW w:type="dxa" w:w="5616"/>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Finance / owner</w:t>
            </w:r>
          </w:p>
        </w:tc>
      </w:tr>
      <w:tr>
        <w:tc>
          <w:tcPr>
            <w:tcW w:type="dxa" w:w="4752"/>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Google and local directories</w:t>
            </w:r>
          </w:p>
        </w:tc>
        <w:tc>
          <w:tcPr>
            <w:tcW w:type="dxa" w:w="5616"/>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Marketing / owner</w:t>
            </w:r>
          </w:p>
        </w:tc>
      </w:tr>
      <w:tr>
        <w:tc>
          <w:tcPr>
            <w:tcW w:type="dxa" w:w="4752"/>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Email/domain aliases</w:t>
            </w:r>
          </w:p>
        </w:tc>
        <w:tc>
          <w:tcPr>
            <w:tcW w:type="dxa" w:w="5616"/>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Technical owner</w:t>
            </w:r>
          </w:p>
        </w:tc>
      </w:tr>
      <w:tr>
        <w:tc>
          <w:tcPr>
            <w:tcW w:type="dxa" w:w="4752"/>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Social / launch content</w:t>
            </w:r>
          </w:p>
        </w:tc>
        <w:tc>
          <w:tcPr>
            <w:tcW w:type="dxa" w:w="5616"/>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Marketing / social owner</w:t>
            </w:r>
          </w:p>
        </w:tc>
      </w:tr>
      <w:tr>
        <w:tc>
          <w:tcPr>
            <w:tcW w:type="dxa" w:w="4752"/>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Physical signage / print</w:t>
            </w:r>
          </w:p>
        </w:tc>
        <w:tc>
          <w:tcPr>
            <w:tcW w:type="dxa" w:w="5616"/>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Owner / vendor coordinator</w:t>
            </w:r>
          </w:p>
        </w:tc>
      </w:tr>
      <w:tr>
        <w:tc>
          <w:tcPr>
            <w:tcW w:type="dxa" w:w="4752"/>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Client communications</w:t>
            </w:r>
          </w:p>
        </w:tc>
        <w:tc>
          <w:tcPr>
            <w:tcW w:type="dxa" w:w="5616"/>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Owner / client experience lead</w:t>
            </w:r>
          </w:p>
        </w:tc>
      </w:tr>
      <w:tr>
        <w:tc>
          <w:tcPr>
            <w:tcW w:type="dxa" w:w="4752"/>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Partner communications</w:t>
            </w:r>
          </w:p>
        </w:tc>
        <w:tc>
          <w:tcPr>
            <w:tcW w:type="dxa" w:w="5616"/>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Owner / referral relationship lead</w:t>
            </w:r>
          </w:p>
        </w:tc>
      </w:tr>
    </w:tbl>
    <w:p>
      <w:pPr>
        <w:spacing w:after="0"/>
      </w:pPr>
    </w:p>
    <w:p>
      <w:pPr>
        <w:pStyle w:val="Heading1"/>
      </w:pPr>
      <w:r>
        <w:t>19.22 — Recommended Timeline at a Glance</w:t>
      </w:r>
    </w:p>
    <w:tbl>
      <w:tblPr>
        <w:tblStyle w:val="TableGrid"/>
        <w:tblW w:type="auto" w:w="0"/>
        <w:jc w:val="center"/>
        <w:tblLook w:firstColumn="1" w:firstRow="1" w:lastColumn="0" w:lastRow="0" w:noHBand="0" w:noVBand="1" w:val="04A0"/>
      </w:tblPr>
      <w:tblGrid>
        <w:gridCol w:w="5083"/>
        <w:gridCol w:w="5083"/>
      </w:tblGrid>
      <w:tr>
        <w:tc>
          <w:tcPr>
            <w:tcW w:type="dxa" w:w="2448"/>
            <w:vAlign w:val="center"/>
            <w:shd w:fill="5A6046"/>
            <w:tcBorders>
              <w:top w:val="single" w:sz="4" w:color="5A6046"/>
              <w:left w:val="single" w:sz="4" w:color="5A6046"/>
              <w:bottom w:val="single" w:sz="4" w:color="5A6046"/>
              <w:right w:val="single" w:sz="4" w:color="5A6046"/>
            </w:tcBorders>
          </w:tcPr>
          <w:p>
            <w:pPr>
              <w:spacing w:after="0"/>
            </w:pPr>
            <w:r/>
            <w:r>
              <w:rPr>
                <w:rFonts w:ascii="Aptos" w:hAnsi="Aptos"/>
                <w:b/>
                <w:color w:val="FFFFFF"/>
                <w:sz w:val="16"/>
              </w:rPr>
              <w:t>Window</w:t>
            </w:r>
          </w:p>
        </w:tc>
        <w:tc>
          <w:tcPr>
            <w:tcW w:type="dxa" w:w="7920"/>
            <w:vAlign w:val="center"/>
            <w:shd w:fill="5A6046"/>
            <w:tcBorders>
              <w:top w:val="single" w:sz="4" w:color="5A6046"/>
              <w:left w:val="single" w:sz="4" w:color="5A6046"/>
              <w:bottom w:val="single" w:sz="4" w:color="5A6046"/>
              <w:right w:val="single" w:sz="4" w:color="5A6046"/>
            </w:tcBorders>
          </w:tcPr>
          <w:p>
            <w:pPr>
              <w:spacing w:after="0"/>
            </w:pPr>
            <w:r/>
            <w:r>
              <w:rPr>
                <w:rFonts w:ascii="Aptos" w:hAnsi="Aptos"/>
                <w:b/>
                <w:color w:val="FFFFFF"/>
                <w:sz w:val="16"/>
              </w:rPr>
              <w:t>Major activities</w:t>
            </w:r>
          </w:p>
        </w:tc>
      </w:tr>
      <w:tr>
        <w:tc>
          <w:tcPr>
            <w:tcW w:type="dxa" w:w="2448"/>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T-8 to T-6 weeks</w:t>
            </w:r>
          </w:p>
        </w:tc>
        <w:tc>
          <w:tcPr>
            <w:tcW w:type="dxa" w:w="7920"/>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Clearance, domains, system inventory, website build, redirect mapping, signage order.</w:t>
            </w:r>
          </w:p>
        </w:tc>
      </w:tr>
      <w:tr>
        <w:tc>
          <w:tcPr>
            <w:tcW w:type="dxa" w:w="2448"/>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T-6 to T-4 weeks</w:t>
            </w:r>
          </w:p>
        </w:tc>
        <w:tc>
          <w:tcPr>
            <w:tcW w:type="dxa" w:w="7920"/>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Timely/Stripe staging, email setup, collateral, social assets, forms, QA.</w:t>
            </w:r>
          </w:p>
        </w:tc>
      </w:tr>
      <w:tr>
        <w:tc>
          <w:tcPr>
            <w:tcW w:type="dxa" w:w="2448"/>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T-3 to T-2 weeks</w:t>
            </w:r>
          </w:p>
        </w:tc>
        <w:tc>
          <w:tcPr>
            <w:tcW w:type="dxa" w:w="7920"/>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Client heads-up, partner heads-up, staff training, final site/content QA.</w:t>
            </w:r>
          </w:p>
        </w:tc>
      </w:tr>
      <w:tr>
        <w:tc>
          <w:tcPr>
            <w:tcW w:type="dxa" w:w="2448"/>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T-1 week</w:t>
            </w:r>
          </w:p>
        </w:tc>
        <w:tc>
          <w:tcPr>
            <w:tcW w:type="dxa" w:w="7920"/>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Freeze key assets, final smoke tests, queue launch communications, verify all credentials.</w:t>
            </w:r>
          </w:p>
        </w:tc>
      </w:tr>
      <w:tr>
        <w:tc>
          <w:tcPr>
            <w:tcW w:type="dxa" w:w="2448"/>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Launch</w:t>
            </w:r>
          </w:p>
        </w:tc>
        <w:tc>
          <w:tcPr>
            <w:tcW w:type="dxa" w:w="7920"/>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Coordinated digital/physical cutover and end-to-end testing.</w:t>
            </w:r>
          </w:p>
        </w:tc>
      </w:tr>
      <w:tr>
        <w:tc>
          <w:tcPr>
            <w:tcW w:type="dxa" w:w="2448"/>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+1 to +30 days</w:t>
            </w:r>
          </w:p>
        </w:tc>
        <w:tc>
          <w:tcPr>
            <w:tcW w:type="dxa" w:w="7920"/>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Intensive monitoring, confusion reduction, broken-link/SEO cleanup.</w:t>
            </w:r>
          </w:p>
        </w:tc>
      </w:tr>
      <w:tr>
        <w:tc>
          <w:tcPr>
            <w:tcW w:type="dxa" w:w="2448"/>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+30 to +90 days</w:t>
            </w:r>
          </w:p>
        </w:tc>
        <w:tc>
          <w:tcPr>
            <w:tcW w:type="dxa" w:w="7920"/>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Reduce transitional language, expand partner/directory cleanup.</w:t>
            </w:r>
          </w:p>
        </w:tc>
      </w:tr>
      <w:tr>
        <w:tc>
          <w:tcPr>
            <w:tcW w:type="dxa" w:w="2448"/>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+90 to +180 days</w:t>
            </w:r>
          </w:p>
        </w:tc>
        <w:tc>
          <w:tcPr>
            <w:tcW w:type="dxa" w:w="7920"/>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Steady-state brand; legacy references become primarily historical/technical.</w:t>
            </w:r>
          </w:p>
        </w:tc>
      </w:tr>
    </w:tbl>
    <w:p>
      <w:pPr>
        <w:spacing w:after="0"/>
      </w:pPr>
    </w:p>
    <w:p>
      <w:pPr>
        <w:pStyle w:val="Heading1"/>
      </w:pPr>
      <w:r>
        <w:t>19.23 — Step 19 Closeout</w:t>
      </w:r>
    </w:p>
    <w:p>
      <w:r>
        <w:t>Step 19 completes the practical migration plan from TAB Massage &amp; Fitness to TAB Wellness Collective. The plan deliberately prioritizes continuity: existing clients should not lose access, history, trust, bookings, payment context or familiarity merely because the brand has evolved.</w:t>
      </w:r>
    </w:p>
    <w:tbl>
      <w:tblPr>
        <w:tblW w:type="auto" w:w="0"/>
        <w:jc w:val="center"/>
        <w:tblLook w:firstColumn="1" w:firstRow="1" w:lastColumn="0" w:lastRow="0" w:noHBand="0" w:noVBand="1" w:val="04A0"/>
      </w:tblPr>
      <w:tblGrid>
        <w:gridCol w:w="10166"/>
      </w:tblGrid>
      <w:tr>
        <w:tc>
          <w:tcPr>
            <w:tcW w:type="dxa" w:w="10166"/>
            <w:shd w:fill="F3EFE7"/>
            <w:tcBorders>
              <w:top w:val="single" w:sz="8" w:color="C0784C"/>
              <w:left w:val="single" w:sz="8" w:color="C0784C"/>
              <w:bottom w:val="single" w:sz="8" w:color="C0784C"/>
              <w:right w:val="single" w:sz="8" w:color="C0784C"/>
            </w:tcBorders>
          </w:tcPr>
          <w:p>
            <w:pPr>
              <w:pStyle w:val="CalloutTitle"/>
            </w:pPr>
            <w:r>
              <w:t>Step 19 success criterion</w:t>
            </w:r>
          </w:p>
          <w:p>
            <w:pPr>
              <w:spacing w:after="0" w:line="252" w:lineRule="auto"/>
            </w:pPr>
            <w:r>
              <w:t>A new visitor understands TAB Wellness Collective immediately, while an existing TAB Massage &amp; Fitness client experiences the change as familiar, intentional and seamless.</w:t>
            </w:r>
          </w:p>
        </w:tc>
      </w:tr>
    </w:tbl>
    <w:p>
      <w:pPr>
        <w:pStyle w:val="Heading2"/>
      </w:pPr>
      <w:r>
        <w:t>Permanent legacy assets to retain</w:t>
      </w:r>
    </w:p>
    <w:p>
      <w:pPr>
        <w:pStyle w:val="ListBullet"/>
        <w:spacing w:after="50"/>
      </w:pPr>
      <w:r>
        <w:t>tabmassage.com and its redirect map</w:t>
      </w:r>
    </w:p>
    <w:p>
      <w:pPr>
        <w:pStyle w:val="ListBullet"/>
        <w:spacing w:after="50"/>
      </w:pPr>
      <w:r>
        <w:t>Legacy email aliases</w:t>
      </w:r>
    </w:p>
    <w:p>
      <w:pPr>
        <w:pStyle w:val="ListBullet"/>
        <w:spacing w:after="50"/>
      </w:pPr>
      <w:r>
        <w:t>Historical About / Our Story references</w:t>
      </w:r>
    </w:p>
    <w:p>
      <w:pPr>
        <w:pStyle w:val="ListBullet"/>
        <w:spacing w:after="50"/>
      </w:pPr>
      <w:r>
        <w:t>Historical legal/accounting records</w:t>
      </w:r>
    </w:p>
    <w:p>
      <w:pPr>
        <w:pStyle w:val="ListBullet"/>
        <w:spacing w:after="50"/>
      </w:pPr>
      <w:r>
        <w:t>Relevant legacy content that supports search or client history</w:t>
      </w:r>
    </w:p>
    <w:p>
      <w:pPr>
        <w:pStyle w:val="Heading2"/>
      </w:pPr>
      <w:r>
        <w:t>Next recommended deliverable</w:t>
      </w:r>
    </w:p>
    <w:p>
      <w:r>
        <w:t>With Steps 1–19 complete, the next logical deliverable is a consolidated TAB Brand &amp; Experience Playbook that becomes the authoritative source for brand foundation, services, customer journey, messaging, website/digital architecture, naming rules, visual identity and rollout standards.</w:t>
      </w:r>
    </w:p>
    <w:p>
      <w:r>
        <w:br w:type="page"/>
      </w:r>
    </w:p>
    <w:p>
      <w:pPr>
        <w:pStyle w:val="Heading1"/>
      </w:pPr>
      <w:r>
        <w:t>Appendix A — Master Launch Checklist</w:t>
      </w:r>
    </w:p>
    <w:tbl>
      <w:tblPr>
        <w:tblStyle w:val="TableGrid"/>
        <w:tblW w:type="auto" w:w="0"/>
        <w:jc w:val="center"/>
        <w:tblLook w:firstColumn="1" w:firstRow="1" w:lastColumn="0" w:lastRow="0" w:noHBand="0" w:noVBand="1" w:val="04A0"/>
      </w:tblPr>
      <w:tblGrid>
        <w:gridCol w:w="3389"/>
        <w:gridCol w:w="3389"/>
        <w:gridCol w:w="3389"/>
      </w:tblGrid>
      <w:tr>
        <w:tc>
          <w:tcPr>
            <w:tcW w:type="dxa" w:w="2304"/>
            <w:vAlign w:val="center"/>
            <w:shd w:fill="5A6046"/>
            <w:tcBorders>
              <w:top w:val="single" w:sz="4" w:color="5A6046"/>
              <w:left w:val="single" w:sz="4" w:color="5A6046"/>
              <w:bottom w:val="single" w:sz="4" w:color="5A6046"/>
              <w:right w:val="single" w:sz="4" w:color="5A6046"/>
            </w:tcBorders>
          </w:tcPr>
          <w:p>
            <w:pPr>
              <w:spacing w:after="0"/>
            </w:pPr>
            <w:r/>
            <w:r>
              <w:rPr>
                <w:rFonts w:ascii="Aptos" w:hAnsi="Aptos"/>
                <w:b/>
                <w:color w:val="FFFFFF"/>
                <w:sz w:val="16"/>
              </w:rPr>
              <w:t>Workstream</w:t>
            </w:r>
          </w:p>
        </w:tc>
        <w:tc>
          <w:tcPr>
            <w:tcW w:type="dxa" w:w="7344"/>
            <w:vAlign w:val="center"/>
            <w:shd w:fill="5A6046"/>
            <w:tcBorders>
              <w:top w:val="single" w:sz="4" w:color="5A6046"/>
              <w:left w:val="single" w:sz="4" w:color="5A6046"/>
              <w:bottom w:val="single" w:sz="4" w:color="5A6046"/>
              <w:right w:val="single" w:sz="4" w:color="5A6046"/>
            </w:tcBorders>
          </w:tcPr>
          <w:p>
            <w:pPr>
              <w:spacing w:after="0"/>
            </w:pPr>
            <w:r/>
            <w:r>
              <w:rPr>
                <w:rFonts w:ascii="Aptos" w:hAnsi="Aptos"/>
                <w:b/>
                <w:color w:val="FFFFFF"/>
                <w:sz w:val="16"/>
              </w:rPr>
              <w:t>Checklist item</w:t>
            </w:r>
          </w:p>
        </w:tc>
        <w:tc>
          <w:tcPr>
            <w:tcW w:type="dxa" w:w="792"/>
            <w:vAlign w:val="center"/>
            <w:shd w:fill="5A6046"/>
            <w:tcBorders>
              <w:top w:val="single" w:sz="4" w:color="5A6046"/>
              <w:left w:val="single" w:sz="4" w:color="5A6046"/>
              <w:bottom w:val="single" w:sz="4" w:color="5A6046"/>
              <w:right w:val="single" w:sz="4" w:color="5A6046"/>
            </w:tcBorders>
          </w:tcPr>
          <w:p>
            <w:pPr>
              <w:spacing w:after="0"/>
            </w:pPr>
            <w:r/>
            <w:r>
              <w:rPr>
                <w:rFonts w:ascii="Aptos" w:hAnsi="Aptos"/>
                <w:b/>
                <w:color w:val="FFFFFF"/>
                <w:sz w:val="16"/>
              </w:rPr>
              <w:t>Status</w:t>
            </w:r>
          </w:p>
        </w:tc>
      </w:tr>
      <w:tr>
        <w:tc>
          <w:tcPr>
            <w:tcW w:type="dxa" w:w="2304"/>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5"/>
              </w:rPr>
              <w:t>Legal &amp; ownership</w:t>
            </w:r>
          </w:p>
        </w:tc>
        <w:tc>
          <w:tcPr>
            <w:tcW w:type="dxa" w:w="7344"/>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5"/>
              </w:rPr>
              <w:t>Trademark clearance complete</w:t>
            </w:r>
          </w:p>
        </w:tc>
        <w:tc>
          <w:tcPr>
            <w:tcW w:type="dxa" w:w="792"/>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5"/>
              </w:rPr>
              <w:t>☐</w:t>
            </w:r>
          </w:p>
        </w:tc>
      </w:tr>
      <w:tr>
        <w:tc>
          <w:tcPr>
            <w:tcW w:type="dxa" w:w="2304"/>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5"/>
              </w:rPr>
              <w:t>Legal &amp; ownership</w:t>
            </w:r>
          </w:p>
        </w:tc>
        <w:tc>
          <w:tcPr>
            <w:tcW w:type="dxa" w:w="7344"/>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5"/>
              </w:rPr>
              <w:t>Michigan filing/name action complete</w:t>
            </w:r>
          </w:p>
        </w:tc>
        <w:tc>
          <w:tcPr>
            <w:tcW w:type="dxa" w:w="792"/>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5"/>
              </w:rPr>
              <w:t>☐</w:t>
            </w:r>
          </w:p>
        </w:tc>
      </w:tr>
      <w:tr>
        <w:tc>
          <w:tcPr>
            <w:tcW w:type="dxa" w:w="2304"/>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5"/>
              </w:rPr>
              <w:t>Legal &amp; ownership</w:t>
            </w:r>
          </w:p>
        </w:tc>
        <w:tc>
          <w:tcPr>
            <w:tcW w:type="dxa" w:w="7344"/>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5"/>
              </w:rPr>
              <w:t>Primary domain secured</w:t>
            </w:r>
          </w:p>
        </w:tc>
        <w:tc>
          <w:tcPr>
            <w:tcW w:type="dxa" w:w="792"/>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5"/>
              </w:rPr>
              <w:t>☐</w:t>
            </w:r>
          </w:p>
        </w:tc>
      </w:tr>
      <w:tr>
        <w:tc>
          <w:tcPr>
            <w:tcW w:type="dxa" w:w="2304"/>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5"/>
              </w:rPr>
              <w:t>Legal &amp; ownership</w:t>
            </w:r>
          </w:p>
        </w:tc>
        <w:tc>
          <w:tcPr>
            <w:tcW w:type="dxa" w:w="7344"/>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5"/>
              </w:rPr>
              <w:t>Social handles reserved</w:t>
            </w:r>
          </w:p>
        </w:tc>
        <w:tc>
          <w:tcPr>
            <w:tcW w:type="dxa" w:w="792"/>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5"/>
              </w:rPr>
              <w:t>☐</w:t>
            </w:r>
          </w:p>
        </w:tc>
      </w:tr>
      <w:tr>
        <w:tc>
          <w:tcPr>
            <w:tcW w:type="dxa" w:w="2304"/>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5"/>
              </w:rPr>
              <w:t>Website</w:t>
            </w:r>
          </w:p>
        </w:tc>
        <w:tc>
          <w:tcPr>
            <w:tcW w:type="dxa" w:w="7344"/>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5"/>
              </w:rPr>
              <w:t>New site production-ready</w:t>
            </w:r>
          </w:p>
        </w:tc>
        <w:tc>
          <w:tcPr>
            <w:tcW w:type="dxa" w:w="792"/>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5"/>
              </w:rPr>
              <w:t>☐</w:t>
            </w:r>
          </w:p>
        </w:tc>
      </w:tr>
      <w:tr>
        <w:tc>
          <w:tcPr>
            <w:tcW w:type="dxa" w:w="2304"/>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5"/>
              </w:rPr>
              <w:t>Website</w:t>
            </w:r>
          </w:p>
        </w:tc>
        <w:tc>
          <w:tcPr>
            <w:tcW w:type="dxa" w:w="7344"/>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5"/>
              </w:rPr>
              <w:t>Redirect map tested</w:t>
            </w:r>
          </w:p>
        </w:tc>
        <w:tc>
          <w:tcPr>
            <w:tcW w:type="dxa" w:w="792"/>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5"/>
              </w:rPr>
              <w:t>☐</w:t>
            </w:r>
          </w:p>
        </w:tc>
      </w:tr>
      <w:tr>
        <w:tc>
          <w:tcPr>
            <w:tcW w:type="dxa" w:w="2304"/>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5"/>
              </w:rPr>
              <w:t>Website</w:t>
            </w:r>
          </w:p>
        </w:tc>
        <w:tc>
          <w:tcPr>
            <w:tcW w:type="dxa" w:w="7344"/>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5"/>
              </w:rPr>
              <w:t>Analytics configured</w:t>
            </w:r>
          </w:p>
        </w:tc>
        <w:tc>
          <w:tcPr>
            <w:tcW w:type="dxa" w:w="792"/>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5"/>
              </w:rPr>
              <w:t>☐</w:t>
            </w:r>
          </w:p>
        </w:tc>
      </w:tr>
      <w:tr>
        <w:tc>
          <w:tcPr>
            <w:tcW w:type="dxa" w:w="2304"/>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5"/>
              </w:rPr>
              <w:t>Website</w:t>
            </w:r>
          </w:p>
        </w:tc>
        <w:tc>
          <w:tcPr>
            <w:tcW w:type="dxa" w:w="7344"/>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5"/>
              </w:rPr>
              <w:t>Search Console verified</w:t>
            </w:r>
          </w:p>
        </w:tc>
        <w:tc>
          <w:tcPr>
            <w:tcW w:type="dxa" w:w="792"/>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5"/>
              </w:rPr>
              <w:t>☐</w:t>
            </w:r>
          </w:p>
        </w:tc>
      </w:tr>
      <w:tr>
        <w:tc>
          <w:tcPr>
            <w:tcW w:type="dxa" w:w="2304"/>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5"/>
              </w:rPr>
              <w:t>Website</w:t>
            </w:r>
          </w:p>
        </w:tc>
        <w:tc>
          <w:tcPr>
            <w:tcW w:type="dxa" w:w="7344"/>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5"/>
              </w:rPr>
              <w:t>Sitemap submitted</w:t>
            </w:r>
          </w:p>
        </w:tc>
        <w:tc>
          <w:tcPr>
            <w:tcW w:type="dxa" w:w="792"/>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5"/>
              </w:rPr>
              <w:t>☐</w:t>
            </w:r>
          </w:p>
        </w:tc>
      </w:tr>
      <w:tr>
        <w:tc>
          <w:tcPr>
            <w:tcW w:type="dxa" w:w="2304"/>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5"/>
              </w:rPr>
              <w:t>Website</w:t>
            </w:r>
          </w:p>
        </w:tc>
        <w:tc>
          <w:tcPr>
            <w:tcW w:type="dxa" w:w="7344"/>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5"/>
              </w:rPr>
              <w:t>Old domain retained</w:t>
            </w:r>
          </w:p>
        </w:tc>
        <w:tc>
          <w:tcPr>
            <w:tcW w:type="dxa" w:w="792"/>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5"/>
              </w:rPr>
              <w:t>☐</w:t>
            </w:r>
          </w:p>
        </w:tc>
      </w:tr>
      <w:tr>
        <w:tc>
          <w:tcPr>
            <w:tcW w:type="dxa" w:w="2304"/>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5"/>
              </w:rPr>
              <w:t>Timely</w:t>
            </w:r>
          </w:p>
        </w:tc>
        <w:tc>
          <w:tcPr>
            <w:tcW w:type="dxa" w:w="7344"/>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5"/>
              </w:rPr>
              <w:t>Business name/logo updated</w:t>
            </w:r>
          </w:p>
        </w:tc>
        <w:tc>
          <w:tcPr>
            <w:tcW w:type="dxa" w:w="792"/>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5"/>
              </w:rPr>
              <w:t>☐</w:t>
            </w:r>
          </w:p>
        </w:tc>
      </w:tr>
      <w:tr>
        <w:tc>
          <w:tcPr>
            <w:tcW w:type="dxa" w:w="2304"/>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5"/>
              </w:rPr>
              <w:t>Timely</w:t>
            </w:r>
          </w:p>
        </w:tc>
        <w:tc>
          <w:tcPr>
            <w:tcW w:type="dxa" w:w="7344"/>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5"/>
              </w:rPr>
              <w:t>Booking links verified</w:t>
            </w:r>
          </w:p>
        </w:tc>
        <w:tc>
          <w:tcPr>
            <w:tcW w:type="dxa" w:w="792"/>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5"/>
              </w:rPr>
              <w:t>☐</w:t>
            </w:r>
          </w:p>
        </w:tc>
      </w:tr>
      <w:tr>
        <w:tc>
          <w:tcPr>
            <w:tcW w:type="dxa" w:w="2304"/>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5"/>
              </w:rPr>
              <w:t>Timely</w:t>
            </w:r>
          </w:p>
        </w:tc>
        <w:tc>
          <w:tcPr>
            <w:tcW w:type="dxa" w:w="7344"/>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5"/>
              </w:rPr>
              <w:t>Service descriptions reviewed</w:t>
            </w:r>
          </w:p>
        </w:tc>
        <w:tc>
          <w:tcPr>
            <w:tcW w:type="dxa" w:w="792"/>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5"/>
              </w:rPr>
              <w:t>☐</w:t>
            </w:r>
          </w:p>
        </w:tc>
      </w:tr>
      <w:tr>
        <w:tc>
          <w:tcPr>
            <w:tcW w:type="dxa" w:w="2304"/>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5"/>
              </w:rPr>
              <w:t>Timely</w:t>
            </w:r>
          </w:p>
        </w:tc>
        <w:tc>
          <w:tcPr>
            <w:tcW w:type="dxa" w:w="7344"/>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5"/>
              </w:rPr>
              <w:t>Emails/reminders reviewed</w:t>
            </w:r>
          </w:p>
        </w:tc>
        <w:tc>
          <w:tcPr>
            <w:tcW w:type="dxa" w:w="792"/>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5"/>
              </w:rPr>
              <w:t>☐</w:t>
            </w:r>
          </w:p>
        </w:tc>
      </w:tr>
      <w:tr>
        <w:tc>
          <w:tcPr>
            <w:tcW w:type="dxa" w:w="2304"/>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5"/>
              </w:rPr>
              <w:t>Timely</w:t>
            </w:r>
          </w:p>
        </w:tc>
        <w:tc>
          <w:tcPr>
            <w:tcW w:type="dxa" w:w="7344"/>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5"/>
              </w:rPr>
              <w:t>Forms reviewed</w:t>
            </w:r>
          </w:p>
        </w:tc>
        <w:tc>
          <w:tcPr>
            <w:tcW w:type="dxa" w:w="792"/>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5"/>
              </w:rPr>
              <w:t>☐</w:t>
            </w:r>
          </w:p>
        </w:tc>
      </w:tr>
      <w:tr>
        <w:tc>
          <w:tcPr>
            <w:tcW w:type="dxa" w:w="2304"/>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5"/>
              </w:rPr>
              <w:t>Stripe</w:t>
            </w:r>
          </w:p>
        </w:tc>
        <w:tc>
          <w:tcPr>
            <w:tcW w:type="dxa" w:w="7344"/>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5"/>
              </w:rPr>
              <w:t>Public branding updated</w:t>
            </w:r>
          </w:p>
        </w:tc>
        <w:tc>
          <w:tcPr>
            <w:tcW w:type="dxa" w:w="792"/>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5"/>
              </w:rPr>
              <w:t>☐</w:t>
            </w:r>
          </w:p>
        </w:tc>
      </w:tr>
      <w:tr>
        <w:tc>
          <w:tcPr>
            <w:tcW w:type="dxa" w:w="2304"/>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5"/>
              </w:rPr>
              <w:t>Stripe</w:t>
            </w:r>
          </w:p>
        </w:tc>
        <w:tc>
          <w:tcPr>
            <w:tcW w:type="dxa" w:w="7344"/>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5"/>
              </w:rPr>
              <w:t>Support contact updated</w:t>
            </w:r>
          </w:p>
        </w:tc>
        <w:tc>
          <w:tcPr>
            <w:tcW w:type="dxa" w:w="792"/>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5"/>
              </w:rPr>
              <w:t>☐</w:t>
            </w:r>
          </w:p>
        </w:tc>
      </w:tr>
      <w:tr>
        <w:tc>
          <w:tcPr>
            <w:tcW w:type="dxa" w:w="2304"/>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5"/>
              </w:rPr>
              <w:t>Stripe</w:t>
            </w:r>
          </w:p>
        </w:tc>
        <w:tc>
          <w:tcPr>
            <w:tcW w:type="dxa" w:w="7344"/>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5"/>
              </w:rPr>
              <w:t>Receipt/invoice branding reviewed</w:t>
            </w:r>
          </w:p>
        </w:tc>
        <w:tc>
          <w:tcPr>
            <w:tcW w:type="dxa" w:w="792"/>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5"/>
              </w:rPr>
              <w:t>☐</w:t>
            </w:r>
          </w:p>
        </w:tc>
      </w:tr>
      <w:tr>
        <w:tc>
          <w:tcPr>
            <w:tcW w:type="dxa" w:w="2304"/>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5"/>
              </w:rPr>
              <w:t>Stripe</w:t>
            </w:r>
          </w:p>
        </w:tc>
        <w:tc>
          <w:tcPr>
            <w:tcW w:type="dxa" w:w="7344"/>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5"/>
              </w:rPr>
              <w:t>Statement descriptor documented</w:t>
            </w:r>
          </w:p>
        </w:tc>
        <w:tc>
          <w:tcPr>
            <w:tcW w:type="dxa" w:w="792"/>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5"/>
              </w:rPr>
              <w:t>☐</w:t>
            </w:r>
          </w:p>
        </w:tc>
      </w:tr>
      <w:tr>
        <w:tc>
          <w:tcPr>
            <w:tcW w:type="dxa" w:w="2304"/>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5"/>
              </w:rPr>
              <w:t>Email</w:t>
            </w:r>
          </w:p>
        </w:tc>
        <w:tc>
          <w:tcPr>
            <w:tcW w:type="dxa" w:w="7344"/>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5"/>
              </w:rPr>
              <w:t>New-domain addresses live</w:t>
            </w:r>
          </w:p>
        </w:tc>
        <w:tc>
          <w:tcPr>
            <w:tcW w:type="dxa" w:w="792"/>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5"/>
              </w:rPr>
              <w:t>☐</w:t>
            </w:r>
          </w:p>
        </w:tc>
      </w:tr>
      <w:tr>
        <w:tc>
          <w:tcPr>
            <w:tcW w:type="dxa" w:w="2304"/>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5"/>
              </w:rPr>
              <w:t>Email</w:t>
            </w:r>
          </w:p>
        </w:tc>
        <w:tc>
          <w:tcPr>
            <w:tcW w:type="dxa" w:w="7344"/>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5"/>
              </w:rPr>
              <w:t>Old addresses forwarding</w:t>
            </w:r>
          </w:p>
        </w:tc>
        <w:tc>
          <w:tcPr>
            <w:tcW w:type="dxa" w:w="792"/>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5"/>
              </w:rPr>
              <w:t>☐</w:t>
            </w:r>
          </w:p>
        </w:tc>
      </w:tr>
      <w:tr>
        <w:tc>
          <w:tcPr>
            <w:tcW w:type="dxa" w:w="2304"/>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5"/>
              </w:rPr>
              <w:t>Email</w:t>
            </w:r>
          </w:p>
        </w:tc>
        <w:tc>
          <w:tcPr>
            <w:tcW w:type="dxa" w:w="7344"/>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5"/>
              </w:rPr>
              <w:t>Signatures updated</w:t>
            </w:r>
          </w:p>
        </w:tc>
        <w:tc>
          <w:tcPr>
            <w:tcW w:type="dxa" w:w="792"/>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5"/>
              </w:rPr>
              <w:t>☐</w:t>
            </w:r>
          </w:p>
        </w:tc>
      </w:tr>
      <w:tr>
        <w:tc>
          <w:tcPr>
            <w:tcW w:type="dxa" w:w="2304"/>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5"/>
              </w:rPr>
              <w:t>Google/local</w:t>
            </w:r>
          </w:p>
        </w:tc>
        <w:tc>
          <w:tcPr>
            <w:tcW w:type="dxa" w:w="7344"/>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5"/>
              </w:rPr>
              <w:t>Google Business Profile updated</w:t>
            </w:r>
          </w:p>
        </w:tc>
        <w:tc>
          <w:tcPr>
            <w:tcW w:type="dxa" w:w="792"/>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5"/>
              </w:rPr>
              <w:t>☐</w:t>
            </w:r>
          </w:p>
        </w:tc>
      </w:tr>
      <w:tr>
        <w:tc>
          <w:tcPr>
            <w:tcW w:type="dxa" w:w="2304"/>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5"/>
              </w:rPr>
              <w:t>Google/local</w:t>
            </w:r>
          </w:p>
        </w:tc>
        <w:tc>
          <w:tcPr>
            <w:tcW w:type="dxa" w:w="7344"/>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5"/>
              </w:rPr>
              <w:t>Local directories prioritized</w:t>
            </w:r>
          </w:p>
        </w:tc>
        <w:tc>
          <w:tcPr>
            <w:tcW w:type="dxa" w:w="792"/>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5"/>
              </w:rPr>
              <w:t>☐</w:t>
            </w:r>
          </w:p>
        </w:tc>
      </w:tr>
      <w:tr>
        <w:tc>
          <w:tcPr>
            <w:tcW w:type="dxa" w:w="2304"/>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5"/>
              </w:rPr>
              <w:t>Google/local</w:t>
            </w:r>
          </w:p>
        </w:tc>
        <w:tc>
          <w:tcPr>
            <w:tcW w:type="dxa" w:w="7344"/>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5"/>
              </w:rPr>
              <w:t>NAP master record confirmed</w:t>
            </w:r>
          </w:p>
        </w:tc>
        <w:tc>
          <w:tcPr>
            <w:tcW w:type="dxa" w:w="792"/>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5"/>
              </w:rPr>
              <w:t>☐</w:t>
            </w:r>
          </w:p>
        </w:tc>
      </w:tr>
      <w:tr>
        <w:tc>
          <w:tcPr>
            <w:tcW w:type="dxa" w:w="2304"/>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5"/>
              </w:rPr>
              <w:t>Social</w:t>
            </w:r>
          </w:p>
        </w:tc>
        <w:tc>
          <w:tcPr>
            <w:tcW w:type="dxa" w:w="7344"/>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5"/>
              </w:rPr>
              <w:t>Display names/handles updated</w:t>
            </w:r>
          </w:p>
        </w:tc>
        <w:tc>
          <w:tcPr>
            <w:tcW w:type="dxa" w:w="792"/>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5"/>
              </w:rPr>
              <w:t>☐</w:t>
            </w:r>
          </w:p>
        </w:tc>
      </w:tr>
      <w:tr>
        <w:tc>
          <w:tcPr>
            <w:tcW w:type="dxa" w:w="2304"/>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5"/>
              </w:rPr>
              <w:t>Social</w:t>
            </w:r>
          </w:p>
        </w:tc>
        <w:tc>
          <w:tcPr>
            <w:tcW w:type="dxa" w:w="7344"/>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5"/>
              </w:rPr>
              <w:t>Avatar/banner updated</w:t>
            </w:r>
          </w:p>
        </w:tc>
        <w:tc>
          <w:tcPr>
            <w:tcW w:type="dxa" w:w="792"/>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5"/>
              </w:rPr>
              <w:t>☐</w:t>
            </w:r>
          </w:p>
        </w:tc>
      </w:tr>
      <w:tr>
        <w:tc>
          <w:tcPr>
            <w:tcW w:type="dxa" w:w="2304"/>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5"/>
              </w:rPr>
              <w:t>Social</w:t>
            </w:r>
          </w:p>
        </w:tc>
        <w:tc>
          <w:tcPr>
            <w:tcW w:type="dxa" w:w="7344"/>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5"/>
              </w:rPr>
              <w:t>Pinned launch post live</w:t>
            </w:r>
          </w:p>
        </w:tc>
        <w:tc>
          <w:tcPr>
            <w:tcW w:type="dxa" w:w="792"/>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5"/>
              </w:rPr>
              <w:t>☐</w:t>
            </w:r>
          </w:p>
        </w:tc>
      </w:tr>
      <w:tr>
        <w:tc>
          <w:tcPr>
            <w:tcW w:type="dxa" w:w="2304"/>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5"/>
              </w:rPr>
              <w:t>Social</w:t>
            </w:r>
          </w:p>
        </w:tc>
        <w:tc>
          <w:tcPr>
            <w:tcW w:type="dxa" w:w="7344"/>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5"/>
              </w:rPr>
              <w:t>Website/booking links updated</w:t>
            </w:r>
          </w:p>
        </w:tc>
        <w:tc>
          <w:tcPr>
            <w:tcW w:type="dxa" w:w="792"/>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5"/>
              </w:rPr>
              <w:t>☐</w:t>
            </w:r>
          </w:p>
        </w:tc>
      </w:tr>
      <w:tr>
        <w:tc>
          <w:tcPr>
            <w:tcW w:type="dxa" w:w="2304"/>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5"/>
              </w:rPr>
              <w:t>Physical</w:t>
            </w:r>
          </w:p>
        </w:tc>
        <w:tc>
          <w:tcPr>
            <w:tcW w:type="dxa" w:w="7344"/>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5"/>
              </w:rPr>
              <w:t>Exterior signage installed</w:t>
            </w:r>
          </w:p>
        </w:tc>
        <w:tc>
          <w:tcPr>
            <w:tcW w:type="dxa" w:w="792"/>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5"/>
              </w:rPr>
              <w:t>☐</w:t>
            </w:r>
          </w:p>
        </w:tc>
      </w:tr>
      <w:tr>
        <w:tc>
          <w:tcPr>
            <w:tcW w:type="dxa" w:w="2304"/>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5"/>
              </w:rPr>
              <w:t>Physical</w:t>
            </w:r>
          </w:p>
        </w:tc>
        <w:tc>
          <w:tcPr>
            <w:tcW w:type="dxa" w:w="7344"/>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5"/>
              </w:rPr>
              <w:t>Interior branding updated</w:t>
            </w:r>
          </w:p>
        </w:tc>
        <w:tc>
          <w:tcPr>
            <w:tcW w:type="dxa" w:w="792"/>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5"/>
              </w:rPr>
              <w:t>☐</w:t>
            </w:r>
          </w:p>
        </w:tc>
      </w:tr>
      <w:tr>
        <w:tc>
          <w:tcPr>
            <w:tcW w:type="dxa" w:w="2304"/>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5"/>
              </w:rPr>
              <w:t>Physical</w:t>
            </w:r>
          </w:p>
        </w:tc>
        <w:tc>
          <w:tcPr>
            <w:tcW w:type="dxa" w:w="7344"/>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5"/>
              </w:rPr>
              <w:t>Temporary transition messaging visible where needed</w:t>
            </w:r>
          </w:p>
        </w:tc>
        <w:tc>
          <w:tcPr>
            <w:tcW w:type="dxa" w:w="792"/>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5"/>
              </w:rPr>
              <w:t>☐</w:t>
            </w:r>
          </w:p>
        </w:tc>
      </w:tr>
      <w:tr>
        <w:tc>
          <w:tcPr>
            <w:tcW w:type="dxa" w:w="2304"/>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5"/>
              </w:rPr>
              <w:t>Operations</w:t>
            </w:r>
          </w:p>
        </w:tc>
        <w:tc>
          <w:tcPr>
            <w:tcW w:type="dxa" w:w="7344"/>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5"/>
              </w:rPr>
              <w:t>Forms/PDFs updated</w:t>
            </w:r>
          </w:p>
        </w:tc>
        <w:tc>
          <w:tcPr>
            <w:tcW w:type="dxa" w:w="792"/>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5"/>
              </w:rPr>
              <w:t>☐</w:t>
            </w:r>
          </w:p>
        </w:tc>
      </w:tr>
      <w:tr>
        <w:tc>
          <w:tcPr>
            <w:tcW w:type="dxa" w:w="2304"/>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5"/>
              </w:rPr>
              <w:t>Operations</w:t>
            </w:r>
          </w:p>
        </w:tc>
        <w:tc>
          <w:tcPr>
            <w:tcW w:type="dxa" w:w="7344"/>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5"/>
              </w:rPr>
              <w:t>Staff scripts complete</w:t>
            </w:r>
          </w:p>
        </w:tc>
        <w:tc>
          <w:tcPr>
            <w:tcW w:type="dxa" w:w="792"/>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5"/>
              </w:rPr>
              <w:t>☐</w:t>
            </w:r>
          </w:p>
        </w:tc>
      </w:tr>
      <w:tr>
        <w:tc>
          <w:tcPr>
            <w:tcW w:type="dxa" w:w="2304"/>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5"/>
              </w:rPr>
              <w:t>Operations</w:t>
            </w:r>
          </w:p>
        </w:tc>
        <w:tc>
          <w:tcPr>
            <w:tcW w:type="dxa" w:w="7344"/>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5"/>
              </w:rPr>
              <w:t>Client announcements sent</w:t>
            </w:r>
          </w:p>
        </w:tc>
        <w:tc>
          <w:tcPr>
            <w:tcW w:type="dxa" w:w="792"/>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5"/>
              </w:rPr>
              <w:t>☐</w:t>
            </w:r>
          </w:p>
        </w:tc>
      </w:tr>
      <w:tr>
        <w:tc>
          <w:tcPr>
            <w:tcW w:type="dxa" w:w="2304"/>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5"/>
              </w:rPr>
              <w:t>Operations</w:t>
            </w:r>
          </w:p>
        </w:tc>
        <w:tc>
          <w:tcPr>
            <w:tcW w:type="dxa" w:w="7344"/>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5"/>
              </w:rPr>
              <w:t>Partner announcements sent</w:t>
            </w:r>
          </w:p>
        </w:tc>
        <w:tc>
          <w:tcPr>
            <w:tcW w:type="dxa" w:w="792"/>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5"/>
              </w:rPr>
              <w:t>☐</w:t>
            </w:r>
          </w:p>
        </w:tc>
      </w:tr>
      <w:tr>
        <w:tc>
          <w:tcPr>
            <w:tcW w:type="dxa" w:w="2304"/>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5"/>
              </w:rPr>
              <w:t>QA</w:t>
            </w:r>
          </w:p>
        </w:tc>
        <w:tc>
          <w:tcPr>
            <w:tcW w:type="dxa" w:w="7344"/>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5"/>
              </w:rPr>
              <w:t>Desktop/mobile smoke tests passed</w:t>
            </w:r>
          </w:p>
        </w:tc>
        <w:tc>
          <w:tcPr>
            <w:tcW w:type="dxa" w:w="792"/>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5"/>
              </w:rPr>
              <w:t>☐</w:t>
            </w:r>
          </w:p>
        </w:tc>
      </w:tr>
      <w:tr>
        <w:tc>
          <w:tcPr>
            <w:tcW w:type="dxa" w:w="2304"/>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5"/>
              </w:rPr>
              <w:t>QA</w:t>
            </w:r>
          </w:p>
        </w:tc>
        <w:tc>
          <w:tcPr>
            <w:tcW w:type="dxa" w:w="7344"/>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5"/>
              </w:rPr>
              <w:t>Old URL tests passed</w:t>
            </w:r>
          </w:p>
        </w:tc>
        <w:tc>
          <w:tcPr>
            <w:tcW w:type="dxa" w:w="792"/>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5"/>
              </w:rPr>
              <w:t>☐</w:t>
            </w:r>
          </w:p>
        </w:tc>
      </w:tr>
      <w:tr>
        <w:tc>
          <w:tcPr>
            <w:tcW w:type="dxa" w:w="2304"/>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5"/>
              </w:rPr>
              <w:t>QA</w:t>
            </w:r>
          </w:p>
        </w:tc>
        <w:tc>
          <w:tcPr>
            <w:tcW w:type="dxa" w:w="7344"/>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5"/>
              </w:rPr>
              <w:t>Booking flow passed</w:t>
            </w:r>
          </w:p>
        </w:tc>
        <w:tc>
          <w:tcPr>
            <w:tcW w:type="dxa" w:w="792"/>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5"/>
              </w:rPr>
              <w:t>☐</w:t>
            </w:r>
          </w:p>
        </w:tc>
      </w:tr>
      <w:tr>
        <w:tc>
          <w:tcPr>
            <w:tcW w:type="dxa" w:w="2304"/>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5"/>
              </w:rPr>
              <w:t>QA</w:t>
            </w:r>
          </w:p>
        </w:tc>
        <w:tc>
          <w:tcPr>
            <w:tcW w:type="dxa" w:w="7344"/>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5"/>
              </w:rPr>
              <w:t>Payment flow passed</w:t>
            </w:r>
          </w:p>
        </w:tc>
        <w:tc>
          <w:tcPr>
            <w:tcW w:type="dxa" w:w="792"/>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5"/>
              </w:rPr>
              <w:t>☐</w:t>
            </w:r>
          </w:p>
        </w:tc>
      </w:tr>
      <w:tr>
        <w:tc>
          <w:tcPr>
            <w:tcW w:type="dxa" w:w="2304"/>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5"/>
              </w:rPr>
              <w:t>QA</w:t>
            </w:r>
          </w:p>
        </w:tc>
        <w:tc>
          <w:tcPr>
            <w:tcW w:type="dxa" w:w="7344"/>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5"/>
              </w:rPr>
              <w:t>Email confirmation flow passed</w:t>
            </w:r>
          </w:p>
        </w:tc>
        <w:tc>
          <w:tcPr>
            <w:tcW w:type="dxa" w:w="792"/>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5"/>
              </w:rPr>
              <w:t>☐</w:t>
            </w:r>
          </w:p>
        </w:tc>
      </w:tr>
    </w:tbl>
    <w:p>
      <w:pPr>
        <w:spacing w:after="0"/>
      </w:pPr>
    </w:p>
    <w:p>
      <w:r>
        <w:br w:type="page"/>
      </w:r>
    </w:p>
    <w:p>
      <w:pPr>
        <w:pStyle w:val="Heading1"/>
      </w:pPr>
      <w:r>
        <w:t>Appendix B — Transition Messaging Templates</w:t>
      </w:r>
    </w:p>
    <w:p>
      <w:pPr>
        <w:pStyle w:val="Heading2"/>
      </w:pPr>
      <w:r>
        <w:t>Short client transition statement</w:t>
      </w:r>
    </w:p>
    <w:p>
      <w:pPr>
        <w:pStyle w:val="Quote"/>
      </w:pPr>
      <w:r>
        <w:t>TAB Massage &amp; Fitness is becoming TAB Wellness Collective. Our new name better reflects the broader, whole-person approach TAB has grown into while preserving the same trusted relationships and personalized support you already know.</w:t>
      </w:r>
    </w:p>
    <w:p>
      <w:pPr>
        <w:pStyle w:val="Heading2"/>
      </w:pPr>
      <w:r>
        <w:t>Short partner transition statement</w:t>
      </w:r>
    </w:p>
    <w:p>
      <w:pPr>
        <w:pStyle w:val="Quote"/>
      </w:pPr>
      <w:r>
        <w:t>TAB Massage &amp; Fitness is becoming TAB Wellness Collective. The new identity reflects our expanded whole-person model while preserving the same client-centered approach and relationships you’ve known.</w:t>
      </w:r>
    </w:p>
    <w:p>
      <w:pPr>
        <w:pStyle w:val="Heading2"/>
      </w:pPr>
      <w:r>
        <w:t>Temporary website announcement bar</w:t>
      </w:r>
    </w:p>
    <w:p>
      <w:pPr>
        <w:pStyle w:val="Quote"/>
      </w:pPr>
      <w:r>
        <w:t>TAB Massage &amp; Fitness is now TAB Wellness Collective. Same commitment. A broader expression of what TAB has become.</w:t>
      </w:r>
    </w:p>
    <w:p>
      <w:pPr>
        <w:pStyle w:val="Heading2"/>
      </w:pPr>
      <w:r>
        <w:t>Temporary social bio</w:t>
      </w:r>
    </w:p>
    <w:p>
      <w:pPr>
        <w:pStyle w:val="Quote"/>
      </w:pPr>
      <w:r>
        <w:t>TAB Wellness Collective • formerly TAB Massage &amp; Fitness • Massage • Strength • Women’s Wellness • Life Coaching • Transform. Align. Become.</w:t>
      </w:r>
    </w:p>
    <w:p>
      <w:pPr>
        <w:pStyle w:val="Heading2"/>
      </w:pPr>
      <w:r>
        <w:t>Temporary email signature note</w:t>
      </w:r>
    </w:p>
    <w:p>
      <w:pPr>
        <w:pStyle w:val="Quote"/>
      </w:pPr>
      <w:r>
        <w:t>TAB Wellness Collective — formerly TAB Massage &amp; Fitness | Transform. Align. Become.</w:t>
      </w:r>
    </w:p>
    <w:p>
      <w:r>
        <w:br w:type="page"/>
      </w:r>
    </w:p>
    <w:p>
      <w:pPr>
        <w:pStyle w:val="Heading1"/>
      </w:pPr>
      <w:r>
        <w:t>Appendix C — Platform &amp; Migration Notes</w:t>
      </w:r>
    </w:p>
    <w:p>
      <w:r>
        <w:t>The implementation recommendations in this playbook were informed by current platform guidance reviewed during Step 19. Because vendor interfaces and requirements can change, revalidate the exact configuration steps immediately before cutover.</w:t>
      </w:r>
    </w:p>
    <w:tbl>
      <w:tblPr>
        <w:tblStyle w:val="TableGrid"/>
        <w:tblW w:type="auto" w:w="0"/>
        <w:jc w:val="center"/>
        <w:tblLook w:firstColumn="1" w:firstRow="1" w:lastColumn="0" w:lastRow="0" w:noHBand="0" w:noVBand="1" w:val="04A0"/>
      </w:tblPr>
      <w:tblGrid>
        <w:gridCol w:w="5083"/>
        <w:gridCol w:w="5083"/>
      </w:tblGrid>
      <w:tr>
        <w:tc>
          <w:tcPr>
            <w:tcW w:type="dxa" w:w="3024"/>
            <w:vAlign w:val="center"/>
            <w:shd w:fill="5A6046"/>
            <w:tcBorders>
              <w:top w:val="single" w:sz="4" w:color="5A6046"/>
              <w:left w:val="single" w:sz="4" w:color="5A6046"/>
              <w:bottom w:val="single" w:sz="4" w:color="5A6046"/>
              <w:right w:val="single" w:sz="4" w:color="5A6046"/>
            </w:tcBorders>
          </w:tcPr>
          <w:p>
            <w:pPr>
              <w:spacing w:after="0"/>
            </w:pPr>
            <w:r/>
            <w:r>
              <w:rPr>
                <w:rFonts w:ascii="Aptos" w:hAnsi="Aptos"/>
                <w:b/>
                <w:color w:val="FFFFFF"/>
                <w:sz w:val="16"/>
              </w:rPr>
              <w:t>Area</w:t>
            </w:r>
          </w:p>
        </w:tc>
        <w:tc>
          <w:tcPr>
            <w:tcW w:type="dxa" w:w="7344"/>
            <w:vAlign w:val="center"/>
            <w:shd w:fill="5A6046"/>
            <w:tcBorders>
              <w:top w:val="single" w:sz="4" w:color="5A6046"/>
              <w:left w:val="single" w:sz="4" w:color="5A6046"/>
              <w:bottom w:val="single" w:sz="4" w:color="5A6046"/>
              <w:right w:val="single" w:sz="4" w:color="5A6046"/>
            </w:tcBorders>
          </w:tcPr>
          <w:p>
            <w:pPr>
              <w:spacing w:after="0"/>
            </w:pPr>
            <w:r/>
            <w:r>
              <w:rPr>
                <w:rFonts w:ascii="Aptos" w:hAnsi="Aptos"/>
                <w:b/>
                <w:color w:val="FFFFFF"/>
                <w:sz w:val="16"/>
              </w:rPr>
              <w:t>Guidance to revalidate before launch</w:t>
            </w:r>
          </w:p>
        </w:tc>
      </w:tr>
      <w:tr>
        <w:tc>
          <w:tcPr>
            <w:tcW w:type="dxa" w:w="3024"/>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Google Search / domain move</w:t>
            </w:r>
          </w:p>
        </w:tc>
        <w:tc>
          <w:tcPr>
            <w:tcW w:type="dxa" w:w="7344"/>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Permanent redirects, canonical URLs, sitemap, Search Console verification/change-of-address workflow, monitoring of indexing.</w:t>
            </w:r>
          </w:p>
        </w:tc>
      </w:tr>
      <w:tr>
        <w:tc>
          <w:tcPr>
            <w:tcW w:type="dxa" w:w="3024"/>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Google Business Profile</w:t>
            </w:r>
          </w:p>
        </w:tc>
        <w:tc>
          <w:tcPr>
            <w:tcW w:type="dxa" w:w="7344"/>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Business-name rules, reverification behavior, profile field requirements and categories.</w:t>
            </w:r>
          </w:p>
        </w:tc>
      </w:tr>
      <w:tr>
        <w:tc>
          <w:tcPr>
            <w:tcW w:type="dxa" w:w="3024"/>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Timely</w:t>
            </w:r>
          </w:p>
        </w:tc>
        <w:tc>
          <w:tcPr>
            <w:tcW w:type="dxa" w:w="7344"/>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Business-details update flow, location naming, booking-link behavior, email/invoice branding and reminder behavior.</w:t>
            </w:r>
          </w:p>
        </w:tc>
      </w:tr>
      <w:tr>
        <w:tc>
          <w:tcPr>
            <w:tcW w:type="dxa" w:w="3024"/>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Stripe</w:t>
            </w:r>
          </w:p>
        </w:tc>
        <w:tc>
          <w:tcPr>
            <w:tcW w:type="dxa" w:w="7344"/>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Branding, support information, Customer Portal/receipt behavior, statement-descriptor requirements and metadata practices.</w:t>
            </w:r>
          </w:p>
        </w:tc>
      </w:tr>
    </w:tbl>
    <w:p>
      <w:pPr>
        <w:spacing w:after="0"/>
      </w:pPr>
    </w:p>
    <w:p>
      <w:r>
        <w:t>Primary sources referenced in the working analysis included Google Search Central, Google Business Profile Help, Timely Help Centre and Stripe documentation. Final launch owners should use the latest vendor documentation rather than relying solely on this static playbook.</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B6E67"/>
        <w:sz w:val="15"/>
      </w:rPr>
      <w:t xml:space="preserve">Rebrand transition &amp; launch playbook  •  September 27,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B6E67"/>
        <w:sz w:val="15"/>
      </w:rPr>
      <w:t>TAB WELLNESS COLLECTIVE   |   STEP 19 — REBRAND TRANSITION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40"/>
      <w:outlineLvl w:val="0"/>
    </w:pPr>
    <w:rPr>
      <w:rFonts w:asciiTheme="majorHAnsi" w:eastAsiaTheme="majorEastAsia" w:hAnsiTheme="majorHAnsi" w:cstheme="majorBidi" w:ascii="Aptos" w:hAnsi="Aptos" w:eastAsia="Aptos"/>
      <w:b/>
      <w:bCs/>
      <w:color w:val="5A6046"/>
      <w:sz w:val="3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eastAsia="Aptos"/>
      <w:b/>
      <w:bCs/>
      <w:color w:val="C0784C"/>
      <w:sz w:val="27"/>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w:hAnsi="Aptos" w:eastAsia="Aptos"/>
      <w:b/>
      <w:bCs/>
      <w:color w:val="25272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252724"/>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Georgia" w:hAnsi="Georgia"/>
      <w:i/>
      <w:iCs/>
      <w:color w:val="5A6046"/>
      <w:sz w:val="23"/>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rPr>
      <w:rFonts w:ascii="Aptos" w:hAnsi="Aptos"/>
      <w:b/>
      <w:color w:val="C0784C"/>
      <w:sz w:val="17"/>
    </w:rPr>
  </w:style>
  <w:style w:type="paragraph" w:customStyle="1" w:styleId="Small">
    <w:name w:val="Small"/>
    <w:rPr>
      <w:rFonts w:ascii="Aptos" w:hAnsi="Aptos"/>
      <w:color w:val="6B6E67"/>
      <w:sz w:val="16"/>
    </w:rPr>
  </w:style>
  <w:style w:type="paragraph" w:customStyle="1" w:styleId="CalloutTitle">
    <w:name w:val="CalloutTitle"/>
    <w:rPr>
      <w:rFonts w:ascii="Aptos" w:hAnsi="Aptos"/>
      <w:b/>
      <w:color w:val="5A6046"/>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