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TAB WELLNESS COLLECTIVE</w:t>
      </w:r>
    </w:p>
    <w:p>
      <w:pPr>
        <w:pStyle w:val="Title"/>
        <w:jc w:val="center"/>
      </w:pPr>
      <w:r>
        <w:t>Step 17 — Naming Validation</w:t>
      </w:r>
    </w:p>
    <w:p>
      <w:pPr>
        <w:jc w:val="center"/>
      </w:pPr>
      <w:r>
        <w:rPr>
          <w:rFonts w:ascii="Georgia" w:hAnsi="Georgia"/>
          <w:i/>
          <w:color w:val="4E5442"/>
          <w:sz w:val="24"/>
        </w:rPr>
        <w:t>Preliminary trademark, business-name, domain, social and competitive clearance</w:t>
      </w:r>
    </w:p>
    <w:p/>
    <w:tbl>
      <w:tblPr>
        <w:tblW w:type="auto" w:w="0"/>
        <w:jc w:val="center"/>
        <w:tblLayout w:type="autofit"/>
        <w:tblLook w:firstColumn="1" w:firstRow="1" w:lastColumn="0" w:lastRow="0" w:noHBand="0" w:noVBand="1" w:val="04A0"/>
      </w:tblPr>
      <w:tblGrid>
        <w:gridCol w:w="10166"/>
      </w:tblGrid>
      <w:tr>
        <w:trPr>
          <w:cantSplit/>
        </w:trPr>
        <w:tc>
          <w:tcPr>
            <w:tcW w:type="dxa" w:w="10166"/>
            <w:shd w:fill="F3EFE7"/>
            <w:tcBorders>
              <w:top w:val="single" w:sz="8" w:color="B26F47"/>
              <w:left w:val="single" w:sz="8" w:color="B26F47"/>
              <w:bottom w:val="single" w:sz="8" w:color="B26F47"/>
              <w:right w:val="single" w:sz="8" w:color="B26F47"/>
              <w:insideH w:val="single" w:sz="8" w:color="B26F47"/>
              <w:insideV w:val="single" w:sz="8" w:color="B26F47"/>
            </w:tcBorders>
          </w:tcPr>
          <w:p>
            <w:pPr>
              <w:pStyle w:val="CalloutTitle"/>
            </w:pPr>
            <w:r>
              <w:t>Working conclusion</w:t>
            </w:r>
          </w:p>
          <w:p>
            <w:pPr>
              <w:spacing w:after="0" w:line="252" w:lineRule="auto"/>
            </w:pPr>
            <w:r>
              <w:t>Proceed with TAB Wellness Collective conditionally. The exact full name appears relatively clean in preliminary online screening, but the shorter “TAB Wellness” space is occupied by an active wellness business. Formal trademark clearance and Michigan entity/name review should be completed before major irreversible investment.</w:t>
            </w:r>
          </w:p>
        </w:tc>
      </w:tr>
    </w:tbl>
    <w:p/>
    <w:p>
      <w:pPr>
        <w:pStyle w:val="Quote"/>
        <w:jc w:val="center"/>
      </w:pPr>
      <w:r>
        <w:t>Protect the full brand. Build equity in TAB. Avoid establishing “TAB Wellness” as a public shorthand.</w:t>
      </w:r>
    </w:p>
    <w:p/>
    <w:p>
      <w:pPr>
        <w:pStyle w:val="Small"/>
        <w:jc w:val="center"/>
      </w:pPr>
      <w:r>
        <w:t>Prepared as a strategic brand-validation working document. This is not legal advice and is not a substitute for a trademark attorney’s clearance opinion.</w:t>
      </w:r>
    </w:p>
    <w:p>
      <w:r>
        <w:br w:type="page"/>
      </w:r>
    </w:p>
    <w:p>
      <w:pPr>
        <w:pStyle w:val="Heading1"/>
      </w:pPr>
      <w:r>
        <w:t>Executive Summary</w:t>
      </w:r>
    </w:p>
    <w:p>
      <w:r>
        <w:t xml:space="preserve">Step 17 validates whether the selected rebrand name — </w:t>
      </w:r>
      <w:r>
        <w:rPr>
          <w:b/>
        </w:rPr>
        <w:t>TAB Wellness Collective</w:t>
      </w:r>
      <w:r>
        <w:t xml:space="preserve"> — is sufficiently distinct and practically usable before significant investment in visual identity, signage, web development and rollout.</w:t>
      </w:r>
    </w:p>
    <w:p>
      <w:pPr>
        <w:pStyle w:val="Heading2"/>
      </w:pPr>
      <w:r>
        <w:t>Preliminary conclusion</w:t>
      </w:r>
    </w:p>
    <w:p>
      <w:pPr>
        <w:pStyle w:val="Quote"/>
      </w:pPr>
      <w:r>
        <w:t>TAB Wellness Collective is conditionally viable, with moderate naming risk that should be resolved through formal trademark clearance before Step 18 becomes a major investment.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Validation area</w:t>
            </w:r>
          </w:p>
        </w:tc>
        <w:tc>
          <w:tcPr>
            <w:tcW w:type="dxa" w:w="504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Preliminary finding</w:t>
            </w:r>
          </w:p>
        </w:tc>
        <w:tc>
          <w:tcPr>
            <w:tcW w:type="dxa" w:w="2448"/>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Current posture</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Exact “TAB Wellness Collective” use</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No meaningful exact-match business surfaced in the indexed web scan.</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Encouraging, not legal clearance</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 Wellness” use</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Active wellness-product businesses use TAB Wellness, including TAB Wellness Inc.</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Material issue to investigate</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Existing TAB equity</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 Massage &amp; Fitness has a documented history dating to 2008.</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Positive continuity factor</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“Wellness Collective” wording</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Widely used/descriptive in health and wellness.</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Low distinctiveness by itself</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Federal trademark landscape</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No obvious exact-match registration surfaced in preliminary screening; full database search remains required.</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Pending formal clearance</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Michigan entity/name</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No indexed exact collision surfaced; live Michigan registry check/reservation remains required.</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Pending</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Domain</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No indexed active use of tabwellnesscollective.com surfaced.</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Registrar/WHOIS availability must be checked directly</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Social handles</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No meaningful indexed exact handle use surfaced.</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Direct platform reservation still required</w:t>
            </w:r>
          </w:p>
        </w:tc>
      </w:tr>
      <w:tr>
        <w:trPr>
          <w:cantSplit/>
        </w:trPr>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Public shorthand</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 Wellness” would increase search and marketplace confusion.</w:t>
            </w:r>
          </w:p>
        </w:tc>
        <w:tc>
          <w:tcPr>
            <w:tcW w:type="dxa" w:w="24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Avoid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1F4EF"/>
            <w:tcBorders>
              <w:top w:val="single" w:sz="8" w:color="55704E"/>
              <w:left w:val="single" w:sz="8" w:color="55704E"/>
              <w:bottom w:val="single" w:sz="8" w:color="55704E"/>
              <w:right w:val="single" w:sz="8" w:color="55704E"/>
              <w:insideH w:val="single" w:sz="8" w:color="55704E"/>
              <w:insideV w:val="single" w:sz="8" w:color="55704E"/>
            </w:tcBorders>
          </w:tcPr>
          <w:p>
            <w:pPr>
              <w:pStyle w:val="CalloutTitle"/>
            </w:pPr>
            <w:r>
              <w:t>Decision gate before Step 18</w:t>
            </w:r>
          </w:p>
          <w:p>
            <w:pPr>
              <w:spacing w:after="0" w:line="252" w:lineRule="auto"/>
            </w:pPr>
            <w:r>
              <w:t>Do not treat the brand as fully cleared until a U.S. trademark attorney evaluates potentially confusing marks and the related goods/services, with particular attention to existing TAB Wellness use. Complete the live Michigan name check and secure the preferred domain/handles in parallel.</w:t>
            </w:r>
          </w:p>
        </w:tc>
      </w:tr>
    </w:tbl>
    <w:p>
      <w:pPr>
        <w:pStyle w:val="Heading1"/>
      </w:pPr>
      <w:r>
        <w:t>17.0 — Validation Scope &amp; Method</w:t>
      </w:r>
    </w:p>
    <w:p>
      <w:r>
        <w:t>This preliminary validation looks at the brand from five different angles because no single search establishes brand availability:</w:t>
      </w:r>
    </w:p>
    <w:p>
      <w:pPr>
        <w:pStyle w:val="ListBullet"/>
        <w:spacing w:after="50"/>
      </w:pPr>
      <w:r>
        <w:t>Federal trademark risk — similarity of marks plus relatedness of goods/services.</w:t>
      </w:r>
    </w:p>
    <w:p>
      <w:pPr>
        <w:pStyle w:val="ListBullet"/>
        <w:spacing w:after="50"/>
      </w:pPr>
      <w:r>
        <w:t>State/business-name availability — whether the legal or assumed name can be filed in Michigan.</w:t>
      </w:r>
    </w:p>
    <w:p>
      <w:pPr>
        <w:pStyle w:val="ListBullet"/>
        <w:spacing w:after="50"/>
      </w:pPr>
      <w:r>
        <w:t>Common-law and marketplace use — unregistered businesses can still create legal and practical conflicts.</w:t>
      </w:r>
    </w:p>
    <w:p>
      <w:pPr>
        <w:pStyle w:val="ListBullet"/>
        <w:spacing w:after="50"/>
      </w:pPr>
      <w:r>
        <w:t>Digital availability — domains, search-result confusion and social identifiers.</w:t>
      </w:r>
    </w:p>
    <w:p>
      <w:pPr>
        <w:pStyle w:val="ListBullet"/>
        <w:spacing w:after="50"/>
      </w:pPr>
      <w:r>
        <w:t>Brand architecture — whether the chosen shorthand and sub-brand system strengthens or weakens distinctiveness.</w:t>
      </w:r>
    </w:p>
    <w:p>
      <w:r>
        <w:t>The USPTO specifically recommends a comprehensive clearance search across federal records, state databases and the internet. Similarity does not require identical wording; sound, appearance, meaning and overall commercial impression can matter, especially when the goods or services are related.</w:t>
      </w:r>
    </w:p>
    <w:p>
      <w:pPr>
        <w:pStyle w:val="Heading1"/>
      </w:pPr>
      <w:r>
        <w:t>17.1 — Existing TAB Brand Equity</w:t>
      </w:r>
    </w:p>
    <w:p>
      <w:r>
        <w:t>TAB Wellness Collective is an evolutionary rebrand rather than a wholly new brand. The current TAB Massage &amp; Fitness site documents a company history beginning in 2008 and describes a comprehensive, holistic approach that already included massage/bodywork, personal training, coaching and wellness concepts.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FE7"/>
            <w:tcBorders>
              <w:top w:val="single" w:sz="8" w:color="A5865A"/>
              <w:left w:val="single" w:sz="8" w:color="A5865A"/>
              <w:bottom w:val="single" w:sz="8" w:color="A5865A"/>
              <w:right w:val="single" w:sz="8" w:color="A5865A"/>
              <w:insideH w:val="single" w:sz="8" w:color="A5865A"/>
              <w:insideV w:val="single" w:sz="8" w:color="A5865A"/>
            </w:tcBorders>
          </w:tcPr>
          <w:p>
            <w:pPr>
              <w:pStyle w:val="CalloutTitle"/>
            </w:pPr>
            <w:r>
              <w:t>Strategic advantage</w:t>
            </w:r>
          </w:p>
          <w:p>
            <w:pPr>
              <w:spacing w:after="0" w:line="252" w:lineRule="auto"/>
            </w:pPr>
            <w:r>
              <w:t>Preserving TAB allows the rebrand to carry forward existing recognition, search history, client familiarity, reviews, referrals and business continuity while expanding what TAB stands for: Transform. Align. Become.</w:t>
            </w:r>
          </w:p>
        </w:tc>
      </w:tr>
    </w:tbl>
    <w:p>
      <w:pPr>
        <w:pStyle w:val="Heading2"/>
      </w:pPr>
      <w:r>
        <w:t>What existing use does — and does not — mean</w:t>
      </w:r>
    </w:p>
    <w:p>
      <w:pPr>
        <w:pStyle w:val="ListBullet"/>
        <w:spacing w:after="50"/>
      </w:pPr>
      <w:r>
        <w:t>Existing use can be relevant to common-law priority and continuity analysis.</w:t>
      </w:r>
    </w:p>
    <w:p>
      <w:pPr>
        <w:pStyle w:val="ListBullet"/>
        <w:spacing w:after="50"/>
      </w:pPr>
      <w:r>
        <w:t>Longstanding use of TAB Massage &amp; Fitness does not automatically grant exclusive rights to every future name containing TAB or TAB Wellness.</w:t>
      </w:r>
    </w:p>
    <w:p>
      <w:pPr>
        <w:pStyle w:val="ListBullet"/>
        <w:spacing w:after="50"/>
      </w:pPr>
      <w:r>
        <w:t>The date, geographic scope, goods/services and exact manner of use matter in a legal priority analysis.</w:t>
      </w:r>
    </w:p>
    <w:p>
      <w:pPr>
        <w:pStyle w:val="ListBullet"/>
        <w:spacing w:after="50"/>
      </w:pPr>
      <w:r>
        <w:t>A trademark attorney should evaluate whether prior TAB use strengthens the position relative to later TAB Wellness users.</w:t>
      </w:r>
    </w:p>
    <w:p>
      <w:pPr>
        <w:pStyle w:val="Heading1"/>
      </w:pPr>
      <w:r>
        <w:t>17.2 — Existing “TAB Wellness” Collision</w:t>
      </w:r>
    </w:p>
    <w:p>
      <w:r>
        <w:t>This is the most important issue found in the preliminary scan. An active business publicly identifies itself as “TAB Wellness” and markets natural wellness products. A second live site identifies “TAB WELLNESS INC” and offers wellness products, memberships/content and wellness-related services.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24"/>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Observed use</w:t>
            </w:r>
          </w:p>
        </w:tc>
        <w:tc>
          <w:tcPr>
            <w:tcW w:type="dxa" w:w="504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What was found</w:t>
            </w:r>
          </w:p>
        </w:tc>
        <w:tc>
          <w:tcPr>
            <w:tcW w:type="dxa" w:w="3168"/>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Why it matters</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 Wellness — tabwellness.net</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Natural/preventative wellness products including sea moss, oils, herbs and botanicals. Site identifies itself as TAB Wellness.</w:t>
            </w:r>
          </w:p>
        </w:tc>
        <w:tc>
          <w:tcPr>
            <w:tcW w:type="dxa" w:w="316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Same broad wellness marketplace even though core offering is products rather than TAB’s service model.</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 Wellness / TAB WELLNESS INC — tabwellness.online</w:t>
            </w:r>
          </w:p>
        </w:tc>
        <w:tc>
          <w:tcPr>
            <w:tcW w:type="dxa" w:w="504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Wellness products plus plans, booking, wellness service content, classes/community features and member areas.</w:t>
            </w:r>
          </w:p>
        </w:tc>
        <w:tc>
          <w:tcPr>
            <w:tcW w:type="dxa" w:w="316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Closer marketplace overlap because the site combines wellness products with service/community concepts.</w:t>
            </w:r>
          </w:p>
        </w:tc>
      </w:tr>
    </w:tbl>
    <w:p>
      <w:pPr>
        <w:spacing w:after="0"/>
      </w:pPr>
    </w:p>
    <w:p>
      <w:r>
        <w:t>The presence of these uses does not automatically prohibit TAB Wellness Collective. Trademark conflict turns on a fact-specific likelihood-of-confusion analysis. However, adding the descriptive word “Collective” may not by itself eliminate concern if “TAB Wellness” is viewed as the dominant commercial impression.</w:t>
      </w:r>
    </w:p>
    <w:p>
      <w:pPr>
        <w:pStyle w:val="Quote"/>
      </w:pPr>
      <w:r>
        <w:t>This is why “TAB Wellness Collective” may still be viable while “TAB Wellness” should not become the public shorthand.</w:t>
      </w:r>
    </w:p>
    <w:p>
      <w:pPr>
        <w:pStyle w:val="Heading1"/>
      </w:pPr>
      <w:r>
        <w:t>17.3 — Federal Trademark Clearance</w:t>
      </w:r>
    </w:p>
    <w:p>
      <w:r>
        <w:t>The preliminary screening did not surface an obvious exact-match federal mark for TAB Wellness Collective. That is encouraging, but it is not equivalent to a formal USPTO clearance search.</w:t>
      </w:r>
    </w:p>
    <w:p>
      <w:pPr>
        <w:pStyle w:val="Heading2"/>
      </w:pPr>
      <w:r>
        <w:t>USPTO conflict standard</w:t>
      </w:r>
    </w:p>
    <w:p>
      <w:r>
        <w:t>The USPTO explains that marks can be confusingly similar based on sound, appearance, meaning or commercial impression. Goods and services do not have to be identical; relatedness can arise when consumers may expect them to come from the same source or when they travel through similar channels of trade.</w:t>
      </w:r>
    </w:p>
    <w:p>
      <w:pPr>
        <w:pStyle w:val="Heading2"/>
      </w:pPr>
      <w:r>
        <w:t>Formal search should include</w:t>
      </w:r>
    </w:p>
    <w:p>
      <w:pPr>
        <w:pStyle w:val="ListBullet"/>
        <w:spacing w:after="50"/>
      </w:pPr>
      <w:r>
        <w:t>Exact wording: TAB WELLNESS COLLECTIVE.</w:t>
      </w:r>
    </w:p>
    <w:p>
      <w:pPr>
        <w:pStyle w:val="ListBullet"/>
        <w:spacing w:after="50"/>
      </w:pPr>
      <w:r>
        <w:t>Dominant wording: TAB WELLNESS and TAB.</w:t>
      </w:r>
    </w:p>
    <w:p>
      <w:pPr>
        <w:pStyle w:val="ListBullet"/>
        <w:spacing w:after="50"/>
      </w:pPr>
      <w:r>
        <w:t>Spelling, phonetic and punctuation variants.</w:t>
      </w:r>
    </w:p>
    <w:p>
      <w:pPr>
        <w:pStyle w:val="ListBullet"/>
        <w:spacing w:after="50"/>
      </w:pPr>
      <w:r>
        <w:t>Marks with similar commercial impressions in wellness, massage, training, coaching and adjacent services.</w:t>
      </w:r>
    </w:p>
    <w:p>
      <w:pPr>
        <w:pStyle w:val="ListBullet"/>
        <w:spacing w:after="50"/>
      </w:pPr>
      <w:r>
        <w:t>Related goods such as wellness products, educational content and memberships where consumers might perceive common source.</w:t>
      </w:r>
    </w:p>
    <w:p>
      <w:pPr>
        <w:pStyle w:val="ListBullet"/>
        <w:spacing w:after="50"/>
      </w:pPr>
      <w:r>
        <w:t>Live federal applications/registrations, relevant state marks and common-law internet/business use.</w:t>
      </w:r>
    </w:p>
    <w:p>
      <w:pPr>
        <w:pStyle w:val="ListBullet"/>
        <w:spacing w:after="50"/>
      </w:pPr>
      <w:r>
        <w:t>Owner, filing-date and first-use details for any potentially conflicting mark.</w:t>
      </w:r>
    </w:p>
    <w:tbl>
      <w:tblPr>
        <w:tblW w:type="auto" w:w="0"/>
        <w:jc w:val="center"/>
        <w:tblLayout w:type="autofit"/>
        <w:tblLook w:firstColumn="1" w:firstRow="1" w:lastColumn="0" w:lastRow="0" w:noHBand="0" w:noVBand="1" w:val="04A0"/>
      </w:tblPr>
      <w:tblGrid>
        <w:gridCol w:w="10166"/>
      </w:tblGrid>
      <w:tr>
        <w:trPr>
          <w:cantSplit/>
        </w:trPr>
        <w:tc>
          <w:tcPr>
            <w:tcW w:type="dxa" w:w="10166"/>
            <w:shd w:fill="F7EEEE"/>
            <w:tcBorders>
              <w:top w:val="single" w:sz="8" w:color="A64B43"/>
              <w:left w:val="single" w:sz="8" w:color="A64B43"/>
              <w:bottom w:val="single" w:sz="8" w:color="A64B43"/>
              <w:right w:val="single" w:sz="8" w:color="A64B43"/>
              <w:insideH w:val="single" w:sz="8" w:color="A64B43"/>
              <w:insideV w:val="single" w:sz="8" w:color="A64B43"/>
            </w:tcBorders>
          </w:tcPr>
          <w:p>
            <w:pPr>
              <w:pStyle w:val="CalloutTitle"/>
            </w:pPr>
            <w:r>
              <w:t>Formal legal question</w:t>
            </w:r>
          </w:p>
          <w:p>
            <w:pPr>
              <w:spacing w:after="0" w:line="252" w:lineRule="auto"/>
            </w:pPr>
            <w:r>
              <w:t>Would consumers be likely to believe TAB Wellness Collective’s massage, strength, coaching and wellness services originate from or are affiliated with an existing TAB Wellness source?</w:t>
            </w:r>
          </w:p>
        </w:tc>
      </w:tr>
    </w:tbl>
    <w:p>
      <w:pPr>
        <w:pStyle w:val="Heading1"/>
      </w:pPr>
      <w:r>
        <w:t>17.4 — What TAB Should Consider Protecting</w:t>
      </w:r>
    </w:p>
    <w:p>
      <w:pPr>
        <w:pStyle w:val="Heading2"/>
      </w:pPr>
      <w:r>
        <w:t>Priority 1 — TAB WELLNESS COLLECTIVE word mark</w:t>
      </w:r>
    </w:p>
    <w:p>
      <w:r>
        <w:t>If counsel clears the name, the first protection discussion should center on the words TAB WELLNESS COLLECTIVE in standard characters. A word mark can protect the wording independent of a single logo treatment, subject to the registered goods/services.</w:t>
      </w:r>
    </w:p>
    <w:p>
      <w:pPr>
        <w:pStyle w:val="Heading2"/>
      </w:pPr>
      <w:r>
        <w:t>Priority 2 — Distinctive TAB logo/monogram</w:t>
      </w:r>
    </w:p>
    <w:p>
      <w:r>
        <w:t>Once the visual identity is finalized, a sufficiently distinctive design mark can be considered separately. This should follow the name clearance rather than precede it.</w:t>
      </w:r>
    </w:p>
    <w:p>
      <w:pPr>
        <w:pStyle w:val="Heading2"/>
      </w:pPr>
      <w:r>
        <w:t>Priority 3 — Transform. Align. Become.</w:t>
      </w:r>
    </w:p>
    <w:p>
      <w:r>
        <w:t>The philosophy should continue to be used, but it should not be assumed to have the same protectability or strategic value as the primary brand name. Similar “align / become / transform” coaching and wellness language is conceptually common, so counsel should evaluate distinctiveness before a separate filing decision.</w:t>
      </w:r>
    </w:p>
    <w:p>
      <w:pPr>
        <w:pStyle w:val="Heading2"/>
      </w:pPr>
      <w:r>
        <w:t>Likely service coverage to discuss with counsel</w:t>
      </w:r>
    </w:p>
    <w:p>
      <w:pPr>
        <w:pStyle w:val="ListBullet"/>
        <w:spacing w:after="50"/>
      </w:pPr>
      <w:r>
        <w:t>Massage and bodywork / wellness services.</w:t>
      </w:r>
    </w:p>
    <w:p>
      <w:pPr>
        <w:pStyle w:val="ListBullet"/>
        <w:spacing w:after="50"/>
      </w:pPr>
      <w:r>
        <w:t>Personal fitness and strength-training services.</w:t>
      </w:r>
    </w:p>
    <w:p>
      <w:pPr>
        <w:pStyle w:val="ListBullet"/>
        <w:spacing w:after="50"/>
      </w:pPr>
      <w:r>
        <w:t>Wellness coaching and educational services.</w:t>
      </w:r>
    </w:p>
    <w:p>
      <w:pPr>
        <w:pStyle w:val="ListBullet"/>
        <w:spacing w:after="50"/>
      </w:pPr>
      <w:r>
        <w:t>Life coaching / personal development services.</w:t>
      </w:r>
    </w:p>
    <w:p>
      <w:pPr>
        <w:pStyle w:val="ListBullet"/>
        <w:spacing w:after="50"/>
      </w:pPr>
      <w:r>
        <w:t>Digital programs, educational resources or memberships if they become material offerings.</w:t>
      </w:r>
    </w:p>
    <w:p>
      <w:r>
        <w:t>The correct trademark filing strategy depends on the exact services actually offered and planned. International classes should not be selected simply to accumulate protection; the identification of goods/services should match real commercial use and strategy.</w:t>
      </w:r>
    </w:p>
    <w:p>
      <w:pPr>
        <w:pStyle w:val="Heading1"/>
      </w:pPr>
      <w:r>
        <w:t>17.5 — Michigan Business-Name Validation</w:t>
      </w:r>
    </w:p>
    <w:p>
      <w:r>
        <w:t>Michigan launched the MiBusiness Registry Portal in 2025. The official Corporations Division now provides live Business Entity Search, Marks &amp; Insignia Search and Name Reservation services.</w:t>
      </w:r>
    </w:p>
    <w:p>
      <w:pPr>
        <w:pStyle w:val="Heading2"/>
      </w:pPr>
      <w:r>
        <w:t>Required Michigan actions</w:t>
      </w:r>
    </w:p>
    <w:p>
      <w:pPr>
        <w:pStyle w:val="ListNumber"/>
        <w:spacing w:after="50"/>
      </w:pPr>
      <w:r>
        <w:t>Run the exact legal/assumed-name search for TAB Wellness Collective in the live Michigan Business Entity Search.</w:t>
      </w:r>
    </w:p>
    <w:p>
      <w:pPr>
        <w:pStyle w:val="ListNumber"/>
        <w:spacing w:after="50"/>
      </w:pPr>
      <w:r>
        <w:t>Review close variants, not only exact matches.</w:t>
      </w:r>
    </w:p>
    <w:p>
      <w:pPr>
        <w:pStyle w:val="ListNumber"/>
        <w:spacing w:after="50"/>
      </w:pPr>
      <w:r>
        <w:t>Determine whether the business will rename the existing entity, file an assumed name/DBA, or use another legal structure.</w:t>
      </w:r>
    </w:p>
    <w:p>
      <w:pPr>
        <w:pStyle w:val="ListNumber"/>
        <w:spacing w:after="50"/>
      </w:pPr>
      <w:r>
        <w:t>Reserve/file the name once trademark counsel is comfortable with the brand direction.</w:t>
      </w:r>
    </w:p>
    <w:p>
      <w:pPr>
        <w:pStyle w:val="ListNumber"/>
        <w:spacing w:after="50"/>
      </w:pPr>
      <w:r>
        <w:t>If useful, search Michigan Marks &amp; Insignia records as an additional state-level screen.</w:t>
      </w:r>
    </w:p>
    <w:p>
      <w:r>
        <w:t>State entity-name acceptance and trademark clearance answer different questions. A Michigan filing can be allowed even when a separate trademark issue exists, so both checks are necessary.</w:t>
      </w:r>
    </w:p>
    <w:p>
      <w:pPr>
        <w:pStyle w:val="Heading1"/>
      </w:pPr>
      <w:r>
        <w:t>17.6 — Competitive Naming Landscape</w:t>
      </w:r>
    </w:p>
    <w:p>
      <w:r>
        <w:t>“Wellness Collective” is a crowded and largely descriptive naming pattern across wellness, therapy, fitness, bodywork, coaching and multidisciplinary health businesses. That does not make it unusable, but it means the phrase itself should not be expected to carry much distinctiveness.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EF"/>
            <w:tcBorders>
              <w:top w:val="single" w:sz="8" w:color="55704E"/>
              <w:left w:val="single" w:sz="8" w:color="55704E"/>
              <w:bottom w:val="single" w:sz="8" w:color="55704E"/>
              <w:right w:val="single" w:sz="8" w:color="55704E"/>
              <w:insideH w:val="single" w:sz="8" w:color="55704E"/>
              <w:insideV w:val="single" w:sz="8" w:color="55704E"/>
            </w:tcBorders>
          </w:tcPr>
          <w:p>
            <w:pPr>
              <w:pStyle w:val="CalloutTitle"/>
            </w:pPr>
            <w:r>
              <w:t>Brand implication</w:t>
            </w:r>
          </w:p>
          <w:p>
            <w:pPr>
              <w:spacing w:after="0" w:line="252" w:lineRule="auto"/>
            </w:pPr>
            <w:r>
              <w:t>The distinctive asset should be TAB. “Wellness Collective” explains the business model; it should not be treated as the primary source identifier.</w:t>
            </w:r>
          </w:p>
        </w:tc>
      </w:tr>
    </w:tbl>
    <w:p>
      <w:pPr>
        <w:pStyle w:val="ListBullet"/>
        <w:spacing w:after="50"/>
      </w:pPr>
      <w:r>
        <w:t>Lead visually and verbally with TAB Wellness Collective, not Wellness Collective.</w:t>
      </w:r>
    </w:p>
    <w:p>
      <w:pPr>
        <w:pStyle w:val="ListBullet"/>
        <w:spacing w:after="50"/>
      </w:pPr>
      <w:r>
        <w:t>Once the full brand is established in context, use TAB as the conversational shorthand.</w:t>
      </w:r>
    </w:p>
    <w:p>
      <w:pPr>
        <w:pStyle w:val="ListBullet"/>
        <w:spacing w:after="50"/>
      </w:pPr>
      <w:r>
        <w:t>Use Transform. Align. Become. to deepen the meaning of TAB.</w:t>
      </w:r>
    </w:p>
    <w:p>
      <w:pPr>
        <w:pStyle w:val="ListBullet"/>
        <w:spacing w:after="50"/>
      </w:pPr>
      <w:r>
        <w:t>Build proprietary extensions around TAB: TAB Method, My TAB, TAB Wellness Plan, TAB Resources.</w:t>
      </w:r>
    </w:p>
    <w:p>
      <w:pPr>
        <w:pStyle w:val="Heading1"/>
      </w:pPr>
      <w:r>
        <w:t>17.7 — Domain Strategy</w:t>
      </w:r>
    </w:p>
    <w:p>
      <w:r>
        <w:t>The preliminary indexed-web scan did not surface an active site using the exact domain/name tabwellnesscollective.com. That does not establish real-time registration availability; domain status should be confirmed directly with a registrar/WHOIS service and secured immediately if available.</w:t>
      </w:r>
    </w:p>
    <w:p>
      <w:pPr>
        <w:pStyle w:val="Heading2"/>
      </w:pPr>
      <w:r>
        <w:t>Recommended domain hierarchy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84"/>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Priority</w:t>
            </w:r>
          </w:p>
        </w:tc>
        <w:tc>
          <w:tcPr>
            <w:tcW w:type="dxa" w:w="360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Domain</w:t>
            </w:r>
          </w:p>
        </w:tc>
        <w:tc>
          <w:tcPr>
            <w:tcW w:type="dxa" w:w="6048"/>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Recommendation</w:t>
            </w:r>
          </w:p>
        </w:tc>
      </w:tr>
      <w:tr>
        <w:trPr>
          <w:cantSplit/>
        </w:trPr>
        <w:tc>
          <w:tcPr>
            <w:tcW w:type="dxa" w:w="158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Primary</w:t>
            </w:r>
          </w:p>
        </w:tc>
        <w:tc>
          <w:tcPr>
            <w:tcW w:type="dxa" w:w="36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tabwellnesscollective.com</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Secure and use as the future canonical public domain if available.</w:t>
            </w:r>
          </w:p>
        </w:tc>
      </w:tr>
      <w:tr>
        <w:trPr>
          <w:cantSplit/>
        </w:trPr>
        <w:tc>
          <w:tcPr>
            <w:tcW w:type="dxa" w:w="158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Defensive</w:t>
            </w:r>
          </w:p>
        </w:tc>
        <w:tc>
          <w:tcPr>
            <w:tcW w:type="dxa" w:w="36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tabwellnesscollective.co</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Optional defensive registration if inexpensive/available.</w:t>
            </w:r>
          </w:p>
        </w:tc>
      </w:tr>
      <w:tr>
        <w:trPr>
          <w:cantSplit/>
        </w:trPr>
        <w:tc>
          <w:tcPr>
            <w:tcW w:type="dxa" w:w="158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Defensive</w:t>
            </w:r>
          </w:p>
        </w:tc>
        <w:tc>
          <w:tcPr>
            <w:tcW w:type="dxa" w:w="36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tabwellnesscollective.net</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Optional defensive registration if inexpensive/available.</w:t>
            </w:r>
          </w:p>
        </w:tc>
      </w:tr>
      <w:tr>
        <w:trPr>
          <w:cantSplit/>
        </w:trPr>
        <w:tc>
          <w:tcPr>
            <w:tcW w:type="dxa" w:w="158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Legacy</w:t>
            </w:r>
          </w:p>
        </w:tc>
        <w:tc>
          <w:tcPr>
            <w:tcW w:type="dxa" w:w="36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tabmassage.com</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Retain long-term and redirect strategically to preserve traffic, backlinks and client familiarity.</w:t>
            </w:r>
          </w:p>
        </w:tc>
      </w:tr>
    </w:tbl>
    <w:p>
      <w:pPr>
        <w:spacing w:after="0"/>
      </w:pPr>
    </w:p>
    <w:p>
      <w:pPr>
        <w:pStyle w:val="Heading2"/>
      </w:pPr>
      <w:r>
        <w:t>Redirect standard</w:t>
      </w:r>
    </w:p>
    <w:p>
      <w:r>
        <w:t>Do not redirect every legacy URL blindly to the new homepage. Map important old URLs to the closest new equivalent where possible. For example:</w:t>
      </w:r>
    </w:p>
    <w:tbl>
      <w:tblPr>
        <w:tblStyle w:val="TableGrid"/>
        <w:tblW w:type="auto" w:w="0"/>
        <w:jc w:val="center"/>
        <w:tblLook w:firstColumn="1" w:firstRow="1" w:lastColumn="0" w:lastRow="0" w:noHBand="0" w:noVBand="1" w:val="04A0"/>
      </w:tblPr>
      <w:tblGrid>
        <w:gridCol w:w="5083"/>
        <w:gridCol w:w="5083"/>
      </w:tblGrid>
      <w:tr>
        <w:trPr>
          <w:cantSplit/>
        </w:trPr>
        <w:tc>
          <w:tcPr>
            <w:tcW w:type="dxa" w:w="4752"/>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Legacy URL concept</w:t>
            </w:r>
          </w:p>
        </w:tc>
        <w:tc>
          <w:tcPr>
            <w:tcW w:type="dxa" w:w="6048"/>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New destination concept</w:t>
            </w:r>
          </w:p>
        </w:tc>
      </w:tr>
      <w:tr>
        <w:trPr>
          <w:cantSplit/>
        </w:trPr>
        <w:tc>
          <w:tcPr>
            <w:tcW w:type="dxa" w:w="4752"/>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tabmassage.com/personal-training</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/services/personal-strength-training</w:t>
            </w:r>
          </w:p>
        </w:tc>
      </w:tr>
      <w:tr>
        <w:trPr>
          <w:cantSplit/>
        </w:trPr>
        <w:tc>
          <w:tcPr>
            <w:tcW w:type="dxa" w:w="4752"/>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tabmassage.com/massage-therapy</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/services/massage-bodywork</w:t>
            </w:r>
          </w:p>
        </w:tc>
      </w:tr>
      <w:tr>
        <w:trPr>
          <w:cantSplit/>
        </w:trPr>
        <w:tc>
          <w:tcPr>
            <w:tcW w:type="dxa" w:w="4752"/>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tabmassage.com/about-us</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/about or /about/our-story</w:t>
            </w:r>
          </w:p>
        </w:tc>
      </w:tr>
      <w:tr>
        <w:trPr>
          <w:cantSplit/>
        </w:trPr>
        <w:tc>
          <w:tcPr>
            <w:tcW w:type="dxa" w:w="4752"/>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tabmassage.com/appointments</w:t>
            </w:r>
          </w:p>
        </w:tc>
        <w:tc>
          <w:tcPr>
            <w:tcW w:type="dxa" w:w="604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/book</w:t>
            </w:r>
          </w:p>
        </w:tc>
      </w:tr>
    </w:tbl>
    <w:p>
      <w:pPr>
        <w:spacing w:after="0"/>
      </w:pPr>
    </w:p>
    <w:p>
      <w:r>
        <w:t>For My TAB, keep the experience under the primary brand domain (for example, /my-tab or a controlled subdomain such as my.tabwellnesscollective.com) rather than creating another independent brand/domain.</w:t>
      </w:r>
    </w:p>
    <w:p>
      <w:pPr>
        <w:pStyle w:val="Heading1"/>
      </w:pPr>
      <w:r>
        <w:t>17.8 — Social Handle Strategy</w:t>
      </w:r>
    </w:p>
    <w:p>
      <w:r>
        <w:t>The indexed-web scan did not surface a meaningful exact use of @tabwellnesscollective, but handle availability changes quickly and must be confirmed directly in each platform.</w:t>
      </w:r>
    </w:p>
    <w:p>
      <w:pPr>
        <w:pStyle w:val="Heading2"/>
      </w:pPr>
      <w:r>
        <w:t>Preferred handle</w:t>
      </w:r>
    </w:p>
    <w:p>
      <w:pPr>
        <w:pStyle w:val="Quote"/>
      </w:pPr>
      <w:r>
        <w:t>@tabwellnesscollective</w:t>
      </w:r>
    </w:p>
    <w:p>
      <w:r>
        <w:t>Reserve the same handle, where possible, across Instagram, Facebook, Threads, TikTok, LinkedIn, YouTube and any other platform TAB reasonably expects to use. Consistency matters more than activating every channel immediately.</w:t>
      </w:r>
    </w:p>
    <w:p>
      <w:pPr>
        <w:pStyle w:val="Heading2"/>
      </w:pPr>
      <w:r>
        <w:t>Fallback</w:t>
      </w:r>
    </w:p>
    <w:p>
      <w:r>
        <w:rPr>
          <w:b/>
        </w:rPr>
        <w:t>@tabwellnesscollectivemi</w:t>
      </w:r>
      <w:r>
        <w:t xml:space="preserve"> is preferable to opaque abbreviations such as @tabwc because it preserves recognition and searchability.</w:t>
      </w:r>
    </w:p>
    <w:p>
      <w:pPr>
        <w:pStyle w:val="Heading1"/>
      </w:pPr>
      <w:r>
        <w:t>17.9 — Naming Architecture &amp; Search-Confusion Rules</w:t>
      </w:r>
    </w:p>
    <w:p>
      <w:r>
        <w:t>Because TAB Wellness is already used by other wellness businesses, TAB should not intentionally create a shortened “TAB Wellness” sub-brand. The full name should dominate metadata, legal/public listings and discovery surfaces.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432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Use case</w:t>
            </w:r>
          </w:p>
        </w:tc>
        <w:tc>
          <w:tcPr>
            <w:tcW w:type="dxa" w:w="6336"/>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Approved naming</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Official brand</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 Wellness Collective</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Conversational shorthand after full brand is established</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Brand philosophy</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Transform. Align. Become.</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Client portal</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My TAB</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Methodology</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The TAB Method</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Client planning artifact</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 Wellness Plan</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Educational ecosystem</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6"/>
              </w:rPr>
              <w:t>TAB Resources</w:t>
            </w:r>
          </w:p>
        </w:tc>
      </w:tr>
      <w:tr>
        <w:trPr>
          <w:cantSplit/>
        </w:trPr>
        <w:tc>
          <w:tcPr>
            <w:tcW w:type="dxa" w:w="432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Avoid as public shorthand</w:t>
            </w:r>
          </w:p>
        </w:tc>
        <w:tc>
          <w:tcPr>
            <w:tcW w:type="dxa" w:w="633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6"/>
              </w:rPr>
              <w:t>TAB Wellness</w:t>
            </w:r>
          </w:p>
        </w:tc>
      </w:tr>
    </w:tbl>
    <w:p>
      <w:pPr>
        <w:spacing w:after="0"/>
      </w:pPr>
    </w:p>
    <w:p>
      <w:pPr>
        <w:pStyle w:val="Heading2"/>
      </w:pPr>
      <w:r>
        <w:t>Search / metadata rule</w:t>
      </w:r>
    </w:p>
    <w:p>
      <w:r>
        <w:t>Website titles, Google Business Profile, structured data, social profiles, directory listings, press material and formal references should consistently use “TAB Wellness Collective.” This gives the full name the best chance to build a distinct search entity over time.</w:t>
      </w:r>
    </w:p>
    <w:p>
      <w:pPr>
        <w:pStyle w:val="Heading1"/>
      </w:pPr>
      <w:r>
        <w:t>17.10 — Risk Scorecard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24"/>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Area</w:t>
            </w:r>
          </w:p>
        </w:tc>
        <w:tc>
          <w:tcPr>
            <w:tcW w:type="dxa" w:w="5328"/>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Assessment</w:t>
            </w:r>
          </w:p>
        </w:tc>
        <w:tc>
          <w:tcPr>
            <w:tcW w:type="dxa" w:w="288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Risk / status</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Exact TAB Wellness Collective use</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No meaningful exact collision surfaced in indexed scan.</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LOW preliminary risk</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TAB Wellness collision</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Active wellness product/service use exists.</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MODERATE–HIGH concern to investigate</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Existing TAB history</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Documented TAB Massage &amp; Fitness use since 2008.</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POSITIVE factor</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Wellness Collective distinctiveness</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Crowded/descriptive.</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LOW distinctiveness</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Federal trademark</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No obvious exact match surfaced; comprehensive search not completed here.</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PENDING formal clearance</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Michigan entity/name</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Live registry action still needed.</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PENDING</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Domain</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No indexed exact-domain use surfaced.</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PENDING direct availability check</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Social</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No meaningful indexed exact handle use surfaced.</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PENDING direct reservation</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Transform. Align. Become.</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Strong brand framework, but conceptually similar coaching language exists.</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MODERATE distinctiveness</w:t>
            </w:r>
          </w:p>
        </w:tc>
      </w:tr>
      <w:tr>
        <w:trPr>
          <w:cantSplit/>
        </w:trPr>
        <w:tc>
          <w:tcPr>
            <w:tcW w:type="dxa" w:w="3024"/>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TAB Wellness shorthand</w:t>
            </w:r>
          </w:p>
        </w:tc>
        <w:tc>
          <w:tcPr>
            <w:tcW w:type="dxa" w:w="5328"/>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Would increase confusion risk.</w:t>
            </w:r>
          </w:p>
        </w:tc>
        <w:tc>
          <w:tcPr>
            <w:tcW w:type="dxa" w:w="288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AVOID</w:t>
            </w:r>
          </w:p>
        </w:tc>
      </w:tr>
    </w:tbl>
    <w:p>
      <w:pPr>
        <w:spacing w:after="0"/>
      </w:pPr>
    </w:p>
    <w:p>
      <w:pPr>
        <w:pStyle w:val="Heading1"/>
      </w:pPr>
      <w:r>
        <w:t>17.11 — Recommended Action Plan</w:t>
      </w:r>
    </w:p>
    <w:p>
      <w:r>
        <w:t>Complete the following in order before irreversible visual/rollout investment:</w:t>
      </w:r>
    </w:p>
    <w:p>
      <w:r>
        <w:rPr>
          <w:b/>
        </w:rPr>
        <w:t xml:space="preserve">Trademark counsel clearance — </w:t>
      </w:r>
      <w:r>
        <w:t>Commission a comprehensive U.S. clearance search for TAB Wellness Collective, with focused analysis of TAB Wellness users, related goods/services, prior use and common-law rights.</w:t>
      </w:r>
    </w:p>
    <w:p>
      <w:r>
        <w:rPr>
          <w:b/>
        </w:rPr>
        <w:t xml:space="preserve">Michigan live search / filing strategy — </w:t>
      </w:r>
      <w:r>
        <w:t>Run the exact and similar-name search in Michigan’s MiBusiness Registry Portal and decide whether to amend the existing entity name or use an assumed name/DBA.</w:t>
      </w:r>
    </w:p>
    <w:p>
      <w:r>
        <w:rPr>
          <w:b/>
        </w:rPr>
        <w:t xml:space="preserve">Secure digital identifiers — </w:t>
      </w:r>
      <w:r>
        <w:t>If available, immediately register tabwellnesscollective.com and reserve @tabwellnesscollective on key social platforms.</w:t>
      </w:r>
    </w:p>
    <w:p>
      <w:r>
        <w:rPr>
          <w:b/>
        </w:rPr>
        <w:t xml:space="preserve">Preserve legacy assets — </w:t>
      </w:r>
      <w:r>
        <w:t>Keep tabmassage.com and existing social/review properties during the transition; build a redirect and rename plan rather than abandoning them.</w:t>
      </w:r>
    </w:p>
    <w:p>
      <w:r>
        <w:rPr>
          <w:b/>
        </w:rPr>
        <w:t xml:space="preserve">Proceed to Step 18 after clearance — </w:t>
      </w:r>
      <w:r>
        <w:t>Once counsel is comfortable with the name, finalize the logo/visual system and then execute the rebrand transition plan.</w:t>
      </w:r>
    </w:p>
    <w:tbl>
      <w:tblPr>
        <w:tblW w:type="auto" w:w="0"/>
        <w:jc w:val="center"/>
        <w:tblLayout w:type="autofit"/>
        <w:tblLook w:firstColumn="1" w:firstRow="1" w:lastColumn="0" w:lastRow="0" w:noHBand="0" w:noVBand="1" w:val="04A0"/>
      </w:tblPr>
      <w:tblGrid>
        <w:gridCol w:w="10166"/>
      </w:tblGrid>
      <w:tr>
        <w:trPr>
          <w:cantSplit/>
        </w:trPr>
        <w:tc>
          <w:tcPr>
            <w:tcW w:type="dxa" w:w="10166"/>
            <w:shd w:fill="F3EFE7"/>
            <w:tcBorders>
              <w:top w:val="single" w:sz="8" w:color="B26F47"/>
              <w:left w:val="single" w:sz="8" w:color="B26F47"/>
              <w:bottom w:val="single" w:sz="8" w:color="B26F47"/>
              <w:right w:val="single" w:sz="8" w:color="B26F47"/>
              <w:insideH w:val="single" w:sz="8" w:color="B26F47"/>
              <w:insideV w:val="single" w:sz="8" w:color="B26F47"/>
            </w:tcBorders>
          </w:tcPr>
          <w:p>
            <w:pPr>
              <w:pStyle w:val="CalloutTitle"/>
            </w:pPr>
            <w:r>
              <w:t>Recommended decision</w:t>
            </w:r>
          </w:p>
          <w:p>
            <w:pPr>
              <w:spacing w:after="0" w:line="252" w:lineRule="auto"/>
            </w:pPr>
            <w:r>
              <w:t>Proceed with TAB Wellness Collective as the working and preferred brand name, but keep the status “conditional” until formal trademark clearance is complete. There is not enough evidence from this preliminary scan to justify reopening the naming exercise now, but there is enough overlap in “TAB Wellness” to justify professional clearance before major spend.</w:t>
            </w:r>
          </w:p>
        </w:tc>
      </w:tr>
    </w:tbl>
    <w:p>
      <w:pPr>
        <w:pStyle w:val="Heading1"/>
      </w:pPr>
      <w:r>
        <w:t>17.12 — Trademark Attorney Briefing Sheet</w:t>
      </w:r>
    </w:p>
    <w:p>
      <w:r>
        <w:t>Provide counsel with the following concise context to accelerate the clearance work:</w:t>
      </w:r>
    </w:p>
    <w:tbl>
      <w:tblPr>
        <w:tblStyle w:val="TableGrid"/>
        <w:tblW w:type="auto" w:w="0"/>
        <w:jc w:val="center"/>
        <w:tblLook w:firstColumn="1" w:firstRow="1" w:lastColumn="0" w:lastRow="0" w:noHBand="0" w:noVBand="1" w:val="04A0"/>
      </w:tblPr>
      <w:tblGrid>
        <w:gridCol w:w="5083"/>
        <w:gridCol w:w="5083"/>
      </w:tblGrid>
      <w:tr>
        <w:trPr>
          <w:cantSplit/>
        </w:trPr>
        <w:tc>
          <w:tcPr>
            <w:tcW w:type="dxa" w:w="3456"/>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Item</w:t>
            </w:r>
          </w:p>
        </w:tc>
        <w:tc>
          <w:tcPr>
            <w:tcW w:type="dxa" w:w="7200"/>
            <w:vAlign w:val="center"/>
            <w:shd w:fill="4E5442"/>
            <w:tcBorders>
              <w:top w:val="single" w:sz="4" w:color="4E5442"/>
              <w:left w:val="single" w:sz="4" w:color="4E5442"/>
              <w:bottom w:val="single" w:sz="4" w:color="4E5442"/>
              <w:right w:val="single" w:sz="4" w:color="4E5442"/>
              <w:insideH w:val="single" w:sz="4" w:color="4E5442"/>
              <w:insideV w:val="single" w:sz="4" w:color="4E5442"/>
            </w:tcBorders>
          </w:tcPr>
          <w:p>
            <w:pPr>
              <w:spacing w:after="0"/>
            </w:pPr>
            <w:r/>
            <w:r>
              <w:rPr>
                <w:rFonts w:ascii="Aptos" w:hAnsi="Aptos"/>
                <w:b/>
                <w:color w:val="FFFFFF"/>
                <w:sz w:val="16"/>
              </w:rPr>
              <w:t>Briefing detail</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Proposed mark</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TAB WELLNESS COLLECTIVE</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Existing/legacy mark</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TAB Massage &amp; Fitness / T.A.B. Massage &amp; Fitness</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Documented business history</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Current TAB website states the business was launched in December 2008.</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Proposed meaning of TAB</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Transform. Align. Become.</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Primary services</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Massage &amp; Bodywork; Personal Strength Training; Women’s Wellness Coaching; Holistic Life Coaching</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Planned adjacent offerings</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Digital programs, educational resources, client portal, memberships/packages, workshops/events</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Geographic base</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Michigan, with digital content/portal potentially accessible beyond Michigan</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Known collision to investigate</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Existing businesses using TAB Wellness, including wellness-product/service sites at tabwellness.net and tabwellness.online</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Preferred shorthand</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tcPr>
          <w:p>
            <w:pPr>
              <w:spacing w:after="0"/>
            </w:pPr>
            <w:r/>
            <w:r>
              <w:rPr>
                <w:rFonts w:ascii="Aptos" w:hAnsi="Aptos"/>
                <w:b w:val="0"/>
                <w:color w:val="252724"/>
                <w:sz w:val="15"/>
              </w:rPr>
              <w:t>TAB; avoid TAB Wellness</w:t>
            </w:r>
          </w:p>
        </w:tc>
      </w:tr>
      <w:tr>
        <w:trPr>
          <w:cantSplit/>
        </w:trPr>
        <w:tc>
          <w:tcPr>
            <w:tcW w:type="dxa" w:w="3456"/>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Other marks of interest</w:t>
            </w:r>
          </w:p>
        </w:tc>
        <w:tc>
          <w:tcPr>
            <w:tcW w:type="dxa" w:w="7200"/>
            <w:vAlign w:val="center"/>
            <w:tcBorders>
              <w:top w:val="single" w:sz="3" w:color="D7D4CC"/>
              <w:left w:val="single" w:sz="3" w:color="D7D4CC"/>
              <w:bottom w:val="single" w:sz="3" w:color="D7D4CC"/>
              <w:right w:val="single" w:sz="3" w:color="D7D4CC"/>
              <w:insideH w:val="single" w:sz="3" w:color="D7D4CC"/>
              <w:insideV w:val="single" w:sz="3" w:color="D7D4CC"/>
            </w:tcBorders>
            <w:shd w:fill="F6F3ED"/>
          </w:tcPr>
          <w:p>
            <w:pPr>
              <w:spacing w:after="0"/>
            </w:pPr>
            <w:r/>
            <w:r>
              <w:rPr>
                <w:rFonts w:ascii="Aptos" w:hAnsi="Aptos"/>
                <w:b w:val="0"/>
                <w:color w:val="252724"/>
                <w:sz w:val="15"/>
              </w:rPr>
              <w:t>Transform. Align. Become.; future TAB logo/monogram</w:t>
            </w:r>
          </w:p>
        </w:tc>
      </w:tr>
    </w:tbl>
    <w:p>
      <w:pPr>
        <w:spacing w:after="0"/>
      </w:pPr>
    </w:p>
    <w:p>
      <w:pPr>
        <w:pStyle w:val="Heading1"/>
      </w:pPr>
      <w:r>
        <w:t>17.13 — Reservation / Execution Checklist</w:t>
      </w:r>
    </w:p>
    <w:p>
      <w:pPr>
        <w:spacing w:after="50"/>
      </w:pPr>
      <w:r>
        <w:t>☐ Trademark attorney clearance completed</w:t>
      </w:r>
    </w:p>
    <w:p>
      <w:pPr>
        <w:spacing w:after="50"/>
      </w:pPr>
      <w:r>
        <w:t>☐ Counsel recommendation documented</w:t>
      </w:r>
    </w:p>
    <w:p>
      <w:pPr>
        <w:spacing w:after="50"/>
      </w:pPr>
      <w:r>
        <w:t>☐ Michigan entity/name search completed</w:t>
      </w:r>
    </w:p>
    <w:p>
      <w:pPr>
        <w:spacing w:after="50"/>
      </w:pPr>
      <w:r>
        <w:t>☐ Entity rename or assumed-name strategy selected</w:t>
      </w:r>
    </w:p>
    <w:p>
      <w:pPr>
        <w:spacing w:after="50"/>
      </w:pPr>
      <w:r>
        <w:t>☐ tabwellnesscollective.com checked and registered if available</w:t>
      </w:r>
    </w:p>
    <w:p>
      <w:pPr>
        <w:spacing w:after="50"/>
      </w:pPr>
      <w:r>
        <w:t>☐ Defensive domains considered</w:t>
      </w:r>
    </w:p>
    <w:p>
      <w:pPr>
        <w:spacing w:after="50"/>
      </w:pPr>
      <w:r>
        <w:t>☐ tabmassage.com retained</w:t>
      </w:r>
    </w:p>
    <w:p>
      <w:pPr>
        <w:spacing w:after="50"/>
      </w:pPr>
      <w:r>
        <w:t>☐ @tabwellnesscollective checked/reserved across priority platforms</w:t>
      </w:r>
    </w:p>
    <w:p>
      <w:pPr>
        <w:spacing w:after="50"/>
      </w:pPr>
      <w:r>
        <w:t>☐ Google Business Profile rename plan deferred until legal/name clearance</w:t>
      </w:r>
    </w:p>
    <w:p>
      <w:pPr>
        <w:spacing w:after="50"/>
      </w:pPr>
      <w:r>
        <w:t>☐ Final visual identity work authorized</w:t>
      </w:r>
    </w:p>
    <w:p>
      <w:pPr>
        <w:spacing w:after="50"/>
      </w:pPr>
      <w:r>
        <w:t>☐ Trademark filing strategy selected after visual/name decisions</w:t>
      </w:r>
    </w:p>
    <w:p>
      <w:pPr>
        <w:spacing w:after="50"/>
      </w:pPr>
      <w:r>
        <w:t>☐ Rebrand transition redirects and digital rename sequencing planned</w:t>
      </w:r>
    </w:p>
    <w:p>
      <w:pPr>
        <w:pStyle w:val="Heading1"/>
      </w:pPr>
      <w:r>
        <w:t>17.14 — Sources &amp; Validation References</w:t>
      </w:r>
    </w:p>
    <w:p>
      <w:r>
        <w:t>These sources support the preliminary findings and validation method. They should be rechecked at the time of filing because business, domain, social and trademark status can change.</w:t>
      </w:r>
    </w:p>
    <w:p>
      <w:pPr>
        <w:pStyle w:val="Source"/>
      </w:pPr>
      <w:r>
        <w:rPr>
          <w:b/>
        </w:rPr>
        <w:t xml:space="preserve">USPTO — Likelihood of confusion — </w:t>
      </w:r>
      <w:hyperlink r:id="rId11">
        <w:r>
          <w:rPr>
            <w:color w:val="B26F47"/>
            <w:u w:val="single"/>
          </w:rPr>
          <w:t>https://www.uspto.gov/trademarks/search/likelihood-confusion</w:t>
        </w:r>
      </w:hyperlink>
      <w:r>
        <w:br/>
        <w:t>Explains similarity of marks, related goods/services and why identical wording is not required for conflict.</w:t>
      </w:r>
    </w:p>
    <w:p>
      <w:pPr>
        <w:pStyle w:val="Source"/>
      </w:pPr>
      <w:r>
        <w:rPr>
          <w:b/>
        </w:rPr>
        <w:t xml:space="preserve">USPTO — Why search for similar trademarks? — </w:t>
      </w:r>
      <w:hyperlink r:id="rId12">
        <w:r>
          <w:rPr>
            <w:color w:val="B26F47"/>
            <w:u w:val="single"/>
          </w:rPr>
          <w:t>https://www.uspto.gov/trademarks/basics/why-search-similar-trademarks</w:t>
        </w:r>
      </w:hyperlink>
      <w:r>
        <w:br/>
        <w:t>Explains the need for federal, state and internet clearance searches.</w:t>
      </w:r>
    </w:p>
    <w:p>
      <w:pPr>
        <w:pStyle w:val="Source"/>
      </w:pPr>
      <w:r>
        <w:rPr>
          <w:b/>
        </w:rPr>
        <w:t xml:space="preserve">USPTO — Federal trademark searching — </w:t>
      </w:r>
      <w:hyperlink r:id="rId13">
        <w:r>
          <w:rPr>
            <w:color w:val="B26F47"/>
            <w:u w:val="single"/>
          </w:rPr>
          <w:t>https://www.uspto.gov/trademarks/search/federal-trademark-searching</w:t>
        </w:r>
      </w:hyperlink>
      <w:r>
        <w:br/>
        <w:t>Provides federal search methodology and cautions about related services/common-law use.</w:t>
      </w:r>
    </w:p>
    <w:p>
      <w:pPr>
        <w:pStyle w:val="Source"/>
      </w:pPr>
      <w:r>
        <w:rPr>
          <w:b/>
        </w:rPr>
        <w:t xml:space="preserve">USPTO — Comprehensive clearance search — </w:t>
      </w:r>
      <w:hyperlink r:id="rId14">
        <w:r>
          <w:rPr>
            <w:color w:val="B26F47"/>
            <w:u w:val="single"/>
          </w:rPr>
          <w:t>https://www.uspto.gov/trademarks/search/comprehensive-clearance-search-similar-trademarks</w:t>
        </w:r>
      </w:hyperlink>
      <w:r>
        <w:br/>
        <w:t>Explains the purpose and breadth of comprehensive clearance.</w:t>
      </w:r>
    </w:p>
    <w:p>
      <w:pPr>
        <w:pStyle w:val="Source"/>
      </w:pPr>
      <w:r>
        <w:rPr>
          <w:b/>
        </w:rPr>
        <w:t xml:space="preserve">Michigan LARA — Corporations Division — </w:t>
      </w:r>
      <w:hyperlink r:id="rId15">
        <w:r>
          <w:rPr>
            <w:color w:val="B26F47"/>
            <w:u w:val="single"/>
          </w:rPr>
          <w:t>https://www.michigan.gov/lara/bureau-list/cscl/corps</w:t>
        </w:r>
      </w:hyperlink>
      <w:r>
        <w:br/>
        <w:t>Official Michigan business entity, mark and name reservation resources.</w:t>
      </w:r>
    </w:p>
    <w:p>
      <w:pPr>
        <w:pStyle w:val="Source"/>
      </w:pPr>
      <w:r>
        <w:rPr>
          <w:b/>
        </w:rPr>
        <w:t xml:space="preserve">Michigan LARA — MiBusiness Registry system update — </w:t>
      </w:r>
      <w:hyperlink r:id="rId16">
        <w:r>
          <w:rPr>
            <w:color w:val="B26F47"/>
            <w:u w:val="single"/>
          </w:rPr>
          <w:t>https://www.michigan.gov/lara/bureau-list/cscl/corps/mibrp/new-system</w:t>
        </w:r>
      </w:hyperlink>
      <w:r>
        <w:br/>
        <w:t>Confirms current Michigan Business Entity Search / MiBusiness Registry system.</w:t>
      </w:r>
    </w:p>
    <w:p>
      <w:pPr>
        <w:pStyle w:val="Source"/>
      </w:pPr>
      <w:r>
        <w:rPr>
          <w:b/>
        </w:rPr>
        <w:t xml:space="preserve">TAB Massage &amp; Fitness — About Us — </w:t>
      </w:r>
      <w:hyperlink r:id="rId17">
        <w:r>
          <w:rPr>
            <w:color w:val="B26F47"/>
            <w:u w:val="single"/>
          </w:rPr>
          <w:t>https://tabmassage.com/about-us/</w:t>
        </w:r>
      </w:hyperlink>
      <w:r>
        <w:br/>
        <w:t>Documents TAB’s history, 2008 launch and existing holistic service positioning.</w:t>
      </w:r>
    </w:p>
    <w:p>
      <w:pPr>
        <w:pStyle w:val="Source"/>
      </w:pPr>
      <w:r>
        <w:rPr>
          <w:b/>
        </w:rPr>
        <w:t xml:space="preserve">TAB Massage &amp; Fitness — current site — </w:t>
      </w:r>
      <w:hyperlink r:id="rId18">
        <w:r>
          <w:rPr>
            <w:color w:val="B26F47"/>
            <w:u w:val="single"/>
          </w:rPr>
          <w:t>https://tabmassage.com/</w:t>
        </w:r>
      </w:hyperlink>
      <w:r>
        <w:br/>
        <w:t>Current legacy public brand and service/navigation footprint.</w:t>
      </w:r>
    </w:p>
    <w:p>
      <w:pPr>
        <w:pStyle w:val="Source"/>
      </w:pPr>
      <w:r>
        <w:rPr>
          <w:b/>
        </w:rPr>
        <w:t xml:space="preserve">TAB Wellness — </w:t>
      </w:r>
      <w:hyperlink r:id="rId19">
        <w:r>
          <w:rPr>
            <w:color w:val="B26F47"/>
            <w:u w:val="single"/>
          </w:rPr>
          <w:t>https://tabwellness.net/</w:t>
        </w:r>
      </w:hyperlink>
      <w:r>
        <w:br/>
        <w:t>Active public use of TAB Wellness for natural/preventative wellness products.</w:t>
      </w:r>
    </w:p>
    <w:p>
      <w:pPr>
        <w:pStyle w:val="Source"/>
      </w:pPr>
      <w:r>
        <w:rPr>
          <w:b/>
        </w:rPr>
        <w:t xml:space="preserve">TAB Wellness / TAB WELLNESS INC — </w:t>
      </w:r>
      <w:hyperlink r:id="rId20">
        <w:r>
          <w:rPr>
            <w:color w:val="B26F47"/>
            <w:u w:val="single"/>
          </w:rPr>
          <w:t>https://www.tabwellness.online/</w:t>
        </w:r>
      </w:hyperlink>
      <w:r>
        <w:br/>
        <w:t>Active public use of TAB Wellness for wellness products and related wellness/community offerings.</w:t>
      </w:r>
    </w:p>
    <w:p>
      <w:pPr>
        <w:pStyle w:val="Heading1"/>
      </w:pPr>
      <w:r>
        <w:t>Step 17 Closeout</w:t>
      </w:r>
    </w:p>
    <w:p>
      <w:pPr>
        <w:pStyle w:val="Quote"/>
      </w:pPr>
      <w:r>
        <w:t>Working status: TAB Wellness Collective remains the preferred name. Proceed, but do not call it fully cleared until formal trademark and Michigan validation are complete.</w:t>
      </w:r>
    </w:p>
    <w:p>
      <w:r>
        <w:t>Once the clearance gate is satisfied, Step 18 can move from exploratory logo concepts into a final visual identity system with substantially lower rework risk.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C706A"/>
        <w:sz w:val="15"/>
      </w:rPr>
      <w:t xml:space="preserve">Preliminary brand clearance working document  •  September 27,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C706A"/>
        <w:sz w:val="15"/>
      </w:rPr>
      <w:t>TAB WELLNESS COLLECTIVE   |   STEP 17 — NAMING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w:hAnsi="Aptos" w:eastAsia="Aptos"/>
      <w:b/>
      <w:bCs/>
      <w:color w:val="4E5442"/>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B26F47"/>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2527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527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216" w:right="216"/>
    </w:pPr>
    <w:rPr>
      <w:rFonts w:ascii="Georgia" w:hAnsi="Georgia"/>
      <w:i/>
      <w:iCs/>
      <w:color w:val="4E5442"/>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B26F47"/>
      <w:sz w:val="17"/>
    </w:rPr>
  </w:style>
  <w:style w:type="paragraph" w:customStyle="1" w:styleId="Small">
    <w:name w:val="Small"/>
    <w:rPr>
      <w:rFonts w:ascii="Aptos" w:hAnsi="Aptos"/>
      <w:color w:val="6C706A"/>
      <w:sz w:val="16"/>
    </w:rPr>
  </w:style>
  <w:style w:type="paragraph" w:customStyle="1" w:styleId="Source">
    <w:name w:val="Source"/>
    <w:rPr>
      <w:rFonts w:ascii="Aptos" w:hAnsi="Aptos"/>
      <w:color w:val="6C706A"/>
      <w:sz w:val="16"/>
    </w:rPr>
  </w:style>
  <w:style w:type="paragraph" w:customStyle="1" w:styleId="CalloutTitle">
    <w:name w:val="CalloutTitle"/>
    <w:rPr>
      <w:rFonts w:ascii="Aptos" w:hAnsi="Aptos"/>
      <w:b/>
      <w:color w:val="4E54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spto.gov/trademarks/search/likelihood-confusion" TargetMode="External"/><Relationship Id="rId12" Type="http://schemas.openxmlformats.org/officeDocument/2006/relationships/hyperlink" Target="https://www.uspto.gov/trademarks/basics/why-search-similar-trademarks" TargetMode="External"/><Relationship Id="rId13" Type="http://schemas.openxmlformats.org/officeDocument/2006/relationships/hyperlink" Target="https://www.uspto.gov/trademarks/search/federal-trademark-searching" TargetMode="External"/><Relationship Id="rId14" Type="http://schemas.openxmlformats.org/officeDocument/2006/relationships/hyperlink" Target="https://www.uspto.gov/trademarks/search/comprehensive-clearance-search-similar-trademarks" TargetMode="External"/><Relationship Id="rId15" Type="http://schemas.openxmlformats.org/officeDocument/2006/relationships/hyperlink" Target="https://www.michigan.gov/lara/bureau-list/cscl/corps" TargetMode="External"/><Relationship Id="rId16" Type="http://schemas.openxmlformats.org/officeDocument/2006/relationships/hyperlink" Target="https://www.michigan.gov/lara/bureau-list/cscl/corps/mibrp/new-system" TargetMode="External"/><Relationship Id="rId17" Type="http://schemas.openxmlformats.org/officeDocument/2006/relationships/hyperlink" Target="https://tabmassage.com/about-us/" TargetMode="External"/><Relationship Id="rId18" Type="http://schemas.openxmlformats.org/officeDocument/2006/relationships/hyperlink" Target="https://tabmassage.com/" TargetMode="External"/><Relationship Id="rId19" Type="http://schemas.openxmlformats.org/officeDocument/2006/relationships/hyperlink" Target="https://tabwellness.net/" TargetMode="External"/><Relationship Id="rId20" Type="http://schemas.openxmlformats.org/officeDocument/2006/relationships/hyperlink" Target="https://www.tabwellness.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 Step 17 Naming Validation</dc:title>
  <dc:subject>Preliminary trademark, business-name, domain, social and competitive clearance</dc:subject>
  <dc:creator>TAB Wellness Collective</dc:creator>
  <cp:keywords/>
  <dc:description>generated by python-docx</dc:description>
  <cp:lastModifiedBy/>
  <cp:revision>1</cp:revision>
  <dcterms:created xsi:type="dcterms:W3CDTF">2013-12-23T23:15:00Z</dcterms:created>
  <dcterms:modified xsi:type="dcterms:W3CDTF">2013-12-23T23:15:00Z</dcterms:modified>
  <cp:category/>
</cp:coreProperties>
</file>