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after="200"/>
      </w:pPr>
      <w:r>
        <w:rPr>
          <w:rFonts w:ascii="Arial" w:hAnsi="Arial"/>
          <w:sz w:val="32"/>
          <w:b/>
        </w:rPr>
        <w:t xml:space="preserve">Psychiatric Meds and Emergency Case Study</w:t>
      </w:r>
    </w:p>
    <w:p/>
    <w:p>
      <w:pPr>
        <w:spacing w:after="200"/>
      </w:pPr>
      <w:r>
        <w:rPr>
          <w:rFonts w:ascii="Arial" w:hAnsi="Arial"/>
          <w:sz w:val="28"/>
          <w:b/>
        </w:rPr>
        <w:t xml:space="preserve">Psychiatric Medications: Key Profiles and Clinical Pearls</w:t>
      </w:r>
    </w:p>
    <w:p>
      <w:pPr>
        <w:pStyle w:val="ListParagraph"/>
        <w:numPr>
          <w:ilvl w:val="0"/>
          <w:numId w:val="1"/>
        </w:numPr>
      </w:pPr>
      <w:r>
        <w:rPr>
          <w:rFonts w:ascii="Arial" w:hAnsi="Arial"/>
          <w:sz w:val="24"/>
          <w:b/>
        </w:rPr>
        <w:t xml:space="preserve">Mirtazapine</w:t>
      </w:r>
      <w:r>
        <w:rPr>
          <w:rFonts w:ascii="Arial" w:hAnsi="Arial"/>
          <w:sz w:val="24"/>
        </w:rPr>
        <w:t xml:space="preserve">: Atypical antidepressant; alpha-2 adrenergic antagonist; unique profile requiring focused study.</w:t>
      </w:r>
    </w:p>
    <w:p>
      <w:pPr>
        <w:pStyle w:val="ListParagraph"/>
        <w:numPr>
          <w:ilvl w:val="0"/>
          <w:numId w:val="1"/>
        </w:numPr>
      </w:pPr>
      <w:r>
        <w:rPr>
          <w:rFonts w:ascii="Arial" w:hAnsi="Arial"/>
          <w:sz w:val="24"/>
          <w:b/>
        </w:rPr>
        <w:t xml:space="preserve">Buspirone</w:t>
      </w:r>
      <w:r>
        <w:rPr>
          <w:rFonts w:ascii="Arial" w:hAnsi="Arial"/>
          <w:sz w:val="24"/>
        </w:rPr>
        <w:t xml:space="preserve">: Anxiolytic acting on serotonin; no GABA activity, so not a controlled substance unlike benzodiazepines.</w:t>
      </w:r>
    </w:p>
    <w:p>
      <w:pPr>
        <w:pStyle w:val="ListParagraph"/>
        <w:numPr>
          <w:ilvl w:val="0"/>
          <w:numId w:val="1"/>
        </w:numPr>
      </w:pPr>
      <w:r>
        <w:rPr>
          <w:rFonts w:ascii="Arial" w:hAnsi="Arial"/>
          <w:sz w:val="24"/>
          <w:b/>
        </w:rPr>
        <w:t xml:space="preserve">MAOIs</w:t>
      </w:r>
      <w:r>
        <w:rPr>
          <w:rFonts w:ascii="Arial" w:hAnsi="Arial"/>
          <w:sz w:val="24"/>
        </w:rPr>
        <w:t xml:space="preserve">: Require dietary restrictions; only aged or fermented dairy (high in tyramine) is contraindicated, not fresh dairy. Other high-tyramine foods include wine, sauerkraut, and aged meats.</w:t>
      </w:r>
    </w:p>
    <w:p>
      <w:pPr>
        <w:pStyle w:val="ListParagraph"/>
        <w:numPr>
          <w:ilvl w:val="0"/>
          <w:numId w:val="1"/>
        </w:numPr>
      </w:pPr>
      <w:r>
        <w:rPr>
          <w:rFonts w:ascii="Arial" w:hAnsi="Arial"/>
          <w:sz w:val="24"/>
          <w:b/>
        </w:rPr>
        <w:t xml:space="preserve">Neuroleptic Malignant Syndrome (NMS)</w:t>
      </w:r>
      <w:r>
        <w:rPr>
          <w:rFonts w:ascii="Arial" w:hAnsi="Arial"/>
          <w:sz w:val="24"/>
        </w:rPr>
        <w:t xml:space="preserve">: Characterized by </w:t>
      </w:r>
      <w:r>
        <w:rPr>
          <w:rFonts w:ascii="Arial" w:hAnsi="Arial"/>
          <w:sz w:val="24"/>
          <w:b/>
        </w:rPr>
        <w:t xml:space="preserve">fever, muscle rigidity, autonomic hyperactivity</w:t>
      </w:r>
      <w:r>
        <w:rPr>
          <w:rFonts w:ascii="Arial" w:hAnsi="Arial"/>
          <w:sz w:val="24"/>
        </w:rPr>
        <w:t xml:space="preserve">; not associated with pinpoint pupils or urinary retention.</w:t>
      </w:r>
    </w:p>
    <w:p>
      <w:pPr>
        <w:pStyle w:val="ListParagraph"/>
        <w:numPr>
          <w:ilvl w:val="0"/>
          <w:numId w:val="1"/>
        </w:numPr>
      </w:pPr>
      <w:r>
        <w:rPr>
          <w:rFonts w:ascii="Arial" w:hAnsi="Arial"/>
          <w:sz w:val="24"/>
          <w:b/>
        </w:rPr>
        <w:t xml:space="preserve">Lithium</w:t>
      </w:r>
      <w:r>
        <w:rPr>
          <w:rFonts w:ascii="Arial" w:hAnsi="Arial"/>
          <w:sz w:val="24"/>
        </w:rPr>
        <w:t xml:space="preserve">: Monitor renal function closely; </w:t>
      </w:r>
      <w:r>
        <w:rPr>
          <w:rFonts w:ascii="Arial" w:hAnsi="Arial"/>
          <w:sz w:val="24"/>
          <w:b/>
        </w:rPr>
        <w:t xml:space="preserve">elevated creatinine</w:t>
      </w:r>
      <w:r>
        <w:rPr>
          <w:rFonts w:ascii="Arial" w:hAnsi="Arial"/>
          <w:sz w:val="24"/>
        </w:rPr>
        <w:t xml:space="preserve"> indicates risk for toxicity due to reduced excretion.</w:t>
      </w:r>
    </w:p>
    <w:p>
      <w:pPr>
        <w:pStyle w:val="ListParagraph"/>
        <w:numPr>
          <w:ilvl w:val="0"/>
          <w:numId w:val="1"/>
        </w:numPr>
      </w:pPr>
      <w:r>
        <w:rPr>
          <w:rFonts w:ascii="Arial" w:hAnsi="Arial"/>
          <w:sz w:val="24"/>
          <w:b/>
        </w:rPr>
        <w:t xml:space="preserve">First-generation antipsychotics</w:t>
      </w:r>
      <w:r>
        <w:rPr>
          <w:rFonts w:ascii="Arial" w:hAnsi="Arial"/>
          <w:sz w:val="24"/>
        </w:rPr>
        <w:t xml:space="preserve"> (e.g., haloperidol): Higher risk of </w:t>
      </w:r>
      <w:r>
        <w:rPr>
          <w:rFonts w:ascii="Arial" w:hAnsi="Arial"/>
          <w:sz w:val="24"/>
          <w:b/>
        </w:rPr>
        <w:t xml:space="preserve">extrapyramidal symptoms (EPS)</w:t>
      </w:r>
      <w:r>
        <w:rPr>
          <w:rFonts w:ascii="Arial" w:hAnsi="Arial"/>
          <w:sz w:val="24"/>
        </w:rPr>
        <w:t xml:space="preserve">; primarily block D2 receptors; less effective for negative symptoms.</w:t>
      </w:r>
    </w:p>
    <w:p>
      <w:pPr>
        <w:pStyle w:val="ListParagraph"/>
        <w:numPr>
          <w:ilvl w:val="0"/>
          <w:numId w:val="1"/>
        </w:numPr>
      </w:pPr>
      <w:r>
        <w:rPr>
          <w:rFonts w:ascii="Arial" w:hAnsi="Arial"/>
          <w:sz w:val="24"/>
          <w:b/>
        </w:rPr>
        <w:t xml:space="preserve">Second- and third-generation antipsychotics</w:t>
      </w:r>
      <w:r>
        <w:rPr>
          <w:rFonts w:ascii="Arial" w:hAnsi="Arial"/>
          <w:sz w:val="24"/>
        </w:rPr>
        <w:t xml:space="preserve"> (e.g., quetiapine, clozapine, risperidone): Lower EPS risk; affect both D2 and serotonin; higher metabolic side effect risk (e.g., </w:t>
      </w:r>
      <w:r>
        <w:rPr>
          <w:rFonts w:ascii="Arial" w:hAnsi="Arial"/>
          <w:sz w:val="24"/>
          <w:b/>
        </w:rPr>
        <w:t xml:space="preserve">diabetes, weight gain</w:t>
      </w:r>
      <w:r>
        <w:rPr>
          <w:rFonts w:ascii="Arial" w:hAnsi="Arial"/>
          <w:sz w:val="24"/>
        </w:rPr>
        <w:t xml:space="preserve">); better for negative symptoms.</w:t>
      </w:r>
    </w:p>
    <w:p>
      <w:pPr>
        <w:pStyle w:val="ListParagraph"/>
        <w:numPr>
          <w:ilvl w:val="0"/>
          <w:numId w:val="1"/>
        </w:numPr>
      </w:pPr>
      <w:r>
        <w:rPr>
          <w:rFonts w:ascii="Arial" w:hAnsi="Arial"/>
          <w:sz w:val="24"/>
          <w:b/>
        </w:rPr>
        <w:t xml:space="preserve">Positive symptoms</w:t>
      </w:r>
      <w:r>
        <w:rPr>
          <w:rFonts w:ascii="Arial" w:hAnsi="Arial"/>
          <w:sz w:val="24"/>
        </w:rPr>
        <w:t xml:space="preserve"> of psychosis: Additions to normal function (e.g., hallucinations, delusions).</w:t>
      </w:r>
    </w:p>
    <w:p>
      <w:pPr>
        <w:pStyle w:val="ListParagraph"/>
        <w:numPr>
          <w:ilvl w:val="0"/>
          <w:numId w:val="1"/>
        </w:numPr>
      </w:pPr>
      <w:r>
        <w:rPr>
          <w:rFonts w:ascii="Arial" w:hAnsi="Arial"/>
          <w:sz w:val="24"/>
          <w:b/>
        </w:rPr>
        <w:t xml:space="preserve">Negative symptoms</w:t>
      </w:r>
      <w:r>
        <w:rPr>
          <w:rFonts w:ascii="Arial" w:hAnsi="Arial"/>
          <w:sz w:val="24"/>
        </w:rPr>
        <w:t xml:space="preserve">: Loss of normal function (e.g., anhedonia, avolition, alogia).</w:t>
      </w:r>
    </w:p>
    <w:p>
      <w:pPr>
        <w:spacing w:after="200"/>
      </w:pPr>
      <w:r>
        <w:rPr>
          <w:rFonts w:ascii="Arial" w:hAnsi="Arial"/>
          <w:sz w:val="24"/>
        </w:rPr>
        <w:t xml:space="preserve">Key teaching points: Differentiate medication classes, understand side effect profiles, prioritize safety and medical workup in acute presentations, and recognize that medical conditions (e.g., infections, metabolic issues) can mimic psychiatric illness.</w:t>
      </w:r>
    </w:p>
    <w:p>
      <w:pPr>
        <w:spacing w:after="200"/>
      </w:pPr>
      <w:r>
        <w:rPr>
          <w:rFonts w:ascii="Arial" w:hAnsi="Arial"/>
          <w:sz w:val="28"/>
          <w:b/>
        </w:rPr>
        <w:t xml:space="preserve">Case Study: Psychiatric Emergency and Involuntary Admission</w:t>
      </w:r>
    </w:p>
    <w:p>
      <w:pPr>
        <w:pStyle w:val="ListParagraph"/>
        <w:numPr>
          <w:ilvl w:val="0"/>
          <w:numId w:val="1"/>
        </w:numPr>
      </w:pPr>
      <w:r>
        <w:rPr>
          <w:rFonts w:ascii="Arial" w:hAnsi="Arial"/>
          <w:sz w:val="24"/>
          <w:b/>
        </w:rPr>
        <w:t xml:space="preserve">Patient presentation</w:t>
      </w:r>
      <w:r>
        <w:rPr>
          <w:rFonts w:ascii="Arial" w:hAnsi="Arial"/>
          <w:sz w:val="24"/>
        </w:rPr>
        <w:t xml:space="preserve">: 27-year-old male brought by police due to violent, erratic behavior; symptoms include paranoia, religious delusions, disorientation, poor hygiene, and incoherence.</w:t>
      </w:r>
    </w:p>
    <w:p>
      <w:pPr>
        <w:pStyle w:val="ListParagraph"/>
        <w:numPr>
          <w:ilvl w:val="0"/>
          <w:numId w:val="1"/>
        </w:numPr>
      </w:pPr>
      <w:r>
        <w:rPr>
          <w:rFonts w:ascii="Arial" w:hAnsi="Arial"/>
          <w:sz w:val="24"/>
          <w:b/>
        </w:rPr>
        <w:t xml:space="preserve">Initial priorities</w:t>
      </w:r>
      <w:r>
        <w:rPr>
          <w:rFonts w:ascii="Arial" w:hAnsi="Arial"/>
          <w:sz w:val="24"/>
        </w:rPr>
        <w:t xml:space="preserve">: Ensure safety, assess risk of harm, use one-on-one observation, address basic needs (hunger, pain, bathroom), and obtain collateral history from family.</w:t>
      </w:r>
    </w:p>
    <w:p>
      <w:pPr>
        <w:pStyle w:val="ListParagraph"/>
        <w:numPr>
          <w:ilvl w:val="0"/>
          <w:numId w:val="1"/>
        </w:numPr>
      </w:pPr>
      <w:r>
        <w:rPr>
          <w:rFonts w:ascii="Arial" w:hAnsi="Arial"/>
          <w:sz w:val="24"/>
          <w:b/>
        </w:rPr>
        <w:t xml:space="preserve">Diagnostic workup</w:t>
      </w:r>
      <w:r>
        <w:rPr>
          <w:rFonts w:ascii="Arial" w:hAnsi="Arial"/>
          <w:sz w:val="24"/>
        </w:rPr>
        <w:t xml:space="preserve">: Labs (CBC, CMP, UA, tox screen, </w:t>
      </w:r>
      <w:r>
        <w:rPr>
          <w:rFonts w:ascii="Arial" w:hAnsi="Arial"/>
          <w:sz w:val="24"/>
          <w:b/>
        </w:rPr>
        <w:t xml:space="preserve">HIV</w:t>
      </w:r>
      <w:r>
        <w:rPr>
          <w:rFonts w:ascii="Arial" w:hAnsi="Arial"/>
          <w:sz w:val="24"/>
        </w:rPr>
        <w:t xml:space="preserve">, </w:t>
      </w:r>
      <w:r>
        <w:rPr>
          <w:rFonts w:ascii="Arial" w:hAnsi="Arial"/>
          <w:sz w:val="24"/>
          <w:b/>
        </w:rPr>
        <w:t xml:space="preserve">RPR</w:t>
      </w:r>
      <w:r>
        <w:rPr>
          <w:rFonts w:ascii="Arial" w:hAnsi="Arial"/>
          <w:sz w:val="24"/>
        </w:rPr>
        <w:t xml:space="preserve">), chest X-ray (to rule out pneumonia, TB, neurosyphilis), EKG (to assess cardiac status).</w:t>
      </w:r>
    </w:p>
    <w:p>
      <w:pPr>
        <w:pStyle w:val="ListParagraph"/>
        <w:numPr>
          <w:ilvl w:val="0"/>
          <w:numId w:val="1"/>
        </w:numPr>
      </w:pPr>
      <w:r>
        <w:rPr>
          <w:rFonts w:ascii="Arial" w:hAnsi="Arial"/>
          <w:sz w:val="24"/>
          <w:b/>
        </w:rPr>
        <w:t xml:space="preserve">Vital signs</w:t>
      </w:r>
      <w:r>
        <w:rPr>
          <w:rFonts w:ascii="Arial" w:hAnsi="Arial"/>
          <w:sz w:val="24"/>
        </w:rPr>
        <w:t xml:space="preserve">: Mildly elevated due to agitation, not necessarily infection.</w:t>
      </w:r>
    </w:p>
    <w:p>
      <w:pPr>
        <w:pStyle w:val="ListParagraph"/>
        <w:numPr>
          <w:ilvl w:val="0"/>
          <w:numId w:val="1"/>
        </w:numPr>
      </w:pPr>
      <w:r>
        <w:rPr>
          <w:rFonts w:ascii="Arial" w:hAnsi="Arial"/>
          <w:sz w:val="24"/>
          <w:b/>
        </w:rPr>
        <w:t xml:space="preserve">Provisional diagnosis</w:t>
      </w:r>
      <w:r>
        <w:rPr>
          <w:rFonts w:ascii="Arial" w:hAnsi="Arial"/>
          <w:sz w:val="24"/>
        </w:rPr>
        <w:t xml:space="preserve">: Psychosis, unspecified; differentials include substance-induced, medical causes, or schizophrenia (not confirmed without duration and functional decline).</w:t>
      </w:r>
    </w:p>
    <w:p>
      <w:pPr>
        <w:pStyle w:val="ListParagraph"/>
        <w:numPr>
          <w:ilvl w:val="0"/>
          <w:numId w:val="1"/>
        </w:numPr>
      </w:pPr>
      <w:r>
        <w:rPr>
          <w:rFonts w:ascii="Arial" w:hAnsi="Arial"/>
          <w:sz w:val="24"/>
          <w:b/>
        </w:rPr>
        <w:t xml:space="preserve">Family history</w:t>
      </w:r>
      <w:r>
        <w:rPr>
          <w:rFonts w:ascii="Arial" w:hAnsi="Arial"/>
          <w:sz w:val="24"/>
        </w:rPr>
        <w:t xml:space="preserve">: Diagnosed with </w:t>
      </w:r>
      <w:r>
        <w:rPr>
          <w:rFonts w:ascii="Arial" w:hAnsi="Arial"/>
          <w:sz w:val="24"/>
          <w:b/>
        </w:rPr>
        <w:t xml:space="preserve">schizophrenia</w:t>
      </w:r>
      <w:r>
        <w:rPr>
          <w:rFonts w:ascii="Arial" w:hAnsi="Arial"/>
          <w:sz w:val="24"/>
        </w:rPr>
        <w:t xml:space="preserve"> at 27; on </w:t>
      </w:r>
      <w:r>
        <w:rPr>
          <w:rFonts w:ascii="Arial" w:hAnsi="Arial"/>
          <w:sz w:val="24"/>
          <w:b/>
        </w:rPr>
        <w:t xml:space="preserve">Haldol-D (haloperidol depot)</w:t>
      </w:r>
      <w:r>
        <w:rPr>
          <w:rFonts w:ascii="Arial" w:hAnsi="Arial"/>
          <w:sz w:val="24"/>
        </w:rPr>
        <w:t xml:space="preserve">, </w:t>
      </w:r>
      <w:r>
        <w:rPr>
          <w:rFonts w:ascii="Arial" w:hAnsi="Arial"/>
          <w:sz w:val="24"/>
          <w:b/>
        </w:rPr>
        <w:t xml:space="preserve">benztropine (Cogentin)</w:t>
      </w:r>
      <w:r>
        <w:rPr>
          <w:rFonts w:ascii="Arial" w:hAnsi="Arial"/>
          <w:sz w:val="24"/>
        </w:rPr>
        <w:t xml:space="preserve">, </w:t>
      </w:r>
      <w:r>
        <w:rPr>
          <w:rFonts w:ascii="Arial" w:hAnsi="Arial"/>
          <w:sz w:val="24"/>
          <w:b/>
        </w:rPr>
        <w:t xml:space="preserve">quetiapine</w:t>
      </w:r>
      <w:r>
        <w:rPr>
          <w:rFonts w:ascii="Arial" w:hAnsi="Arial"/>
          <w:sz w:val="24"/>
        </w:rPr>
        <w:t xml:space="preserve">, and </w:t>
      </w:r>
      <w:r>
        <w:rPr>
          <w:rFonts w:ascii="Arial" w:hAnsi="Arial"/>
          <w:sz w:val="24"/>
          <w:b/>
        </w:rPr>
        <w:t xml:space="preserve">trazodone</w:t>
      </w:r>
      <w:r>
        <w:rPr>
          <w:rFonts w:ascii="Arial" w:hAnsi="Arial"/>
          <w:sz w:val="24"/>
        </w:rPr>
        <w:t xml:space="preserve">; history of </w:t>
      </w:r>
      <w:r>
        <w:rPr>
          <w:rFonts w:ascii="Arial" w:hAnsi="Arial"/>
          <w:sz w:val="24"/>
          <w:b/>
        </w:rPr>
        <w:t xml:space="preserve">violence, suicide attempts</w:t>
      </w:r>
      <w:r>
        <w:rPr>
          <w:rFonts w:ascii="Arial" w:hAnsi="Arial"/>
          <w:sz w:val="24"/>
        </w:rPr>
        <w:t xml:space="preserve">, and non-adherence; comorbid </w:t>
      </w:r>
      <w:r>
        <w:rPr>
          <w:rFonts w:ascii="Arial" w:hAnsi="Arial"/>
          <w:sz w:val="24"/>
          <w:b/>
        </w:rPr>
        <w:t xml:space="preserve">untreated hypertension, uncontrolled diabetes, high cholesterol</w:t>
      </w:r>
      <w:r>
        <w:rPr>
          <w:rFonts w:ascii="Arial" w:hAnsi="Arial"/>
          <w:sz w:val="24"/>
        </w:rPr>
        <w:t xml:space="preserve">.</w:t>
      </w:r>
    </w:p>
    <w:p>
      <w:pPr>
        <w:pStyle w:val="ListParagraph"/>
        <w:numPr>
          <w:ilvl w:val="0"/>
          <w:numId w:val="1"/>
        </w:numPr>
      </w:pPr>
      <w:r>
        <w:rPr>
          <w:rFonts w:ascii="Arial" w:hAnsi="Arial"/>
          <w:sz w:val="24"/>
          <w:b/>
        </w:rPr>
        <w:t xml:space="preserve">Involuntary admission</w:t>
      </w:r>
      <w:r>
        <w:rPr>
          <w:rFonts w:ascii="Arial" w:hAnsi="Arial"/>
          <w:sz w:val="24"/>
        </w:rPr>
        <w:t xml:space="preserve">: Ordered due to </w:t>
      </w:r>
      <w:r>
        <w:rPr>
          <w:rFonts w:ascii="Arial" w:hAnsi="Arial"/>
          <w:sz w:val="24"/>
          <w:b/>
        </w:rPr>
        <w:t xml:space="preserve">risk of harm and grave disability</w:t>
      </w:r>
      <w:r>
        <w:rPr>
          <w:rFonts w:ascii="Arial" w:hAnsi="Arial"/>
          <w:sz w:val="24"/>
        </w:rPr>
        <w:t xml:space="preserve">.</w:t>
      </w:r>
    </w:p>
    <w:p>
      <w:pPr>
        <w:pStyle w:val="ListParagraph"/>
        <w:numPr>
          <w:ilvl w:val="0"/>
          <w:numId w:val="1"/>
        </w:numPr>
      </w:pPr>
      <w:r>
        <w:rPr>
          <w:rFonts w:ascii="Arial" w:hAnsi="Arial"/>
          <w:sz w:val="24"/>
          <w:b/>
        </w:rPr>
        <w:t xml:space="preserve">Medication administration</w:t>
      </w:r>
      <w:r>
        <w:rPr>
          <w:rFonts w:ascii="Arial" w:hAnsi="Arial"/>
          <w:sz w:val="24"/>
        </w:rPr>
        <w:t xml:space="preserve">: </w:t>
      </w:r>
      <w:r>
        <w:rPr>
          <w:rFonts w:ascii="Arial" w:hAnsi="Arial"/>
          <w:sz w:val="24"/>
          <w:b/>
        </w:rPr>
        <w:t xml:space="preserve">Haldol 10 mg IM</w:t>
      </w:r>
      <w:r>
        <w:rPr>
          <w:rFonts w:ascii="Arial" w:hAnsi="Arial"/>
          <w:sz w:val="24"/>
        </w:rPr>
        <w:t xml:space="preserve"> given at 4:30 PM; required 5 mL from 2 mg/mL concentration.</w:t>
      </w:r>
    </w:p>
    <w:p>
      <w:pPr>
        <w:pStyle w:val="ListParagraph"/>
        <w:numPr>
          <w:ilvl w:val="0"/>
          <w:numId w:val="1"/>
        </w:numPr>
      </w:pPr>
      <w:r>
        <w:rPr>
          <w:rFonts w:ascii="Arial" w:hAnsi="Arial"/>
          <w:sz w:val="24"/>
          <w:b/>
        </w:rPr>
        <w:t xml:space="preserve">SBAR communication</w:t>
      </w:r>
      <w:r>
        <w:rPr>
          <w:rFonts w:ascii="Arial" w:hAnsi="Arial"/>
          <w:sz w:val="24"/>
        </w:rPr>
        <w:t xml:space="preserve">: Used to transfer patient; included identity, clinical status (disoriented, agitated, positive RPR, uncontrolled diabetes), meds given, and safety concerns.</w:t>
      </w:r>
    </w:p>
    <w:p>
      <w:pPr>
        <w:pStyle w:val="ListParagraph"/>
        <w:numPr>
          <w:ilvl w:val="0"/>
          <w:numId w:val="1"/>
        </w:numPr>
      </w:pPr>
      <w:r>
        <w:rPr>
          <w:rFonts w:ascii="Arial" w:hAnsi="Arial"/>
          <w:sz w:val="24"/>
          <w:b/>
        </w:rPr>
        <w:t xml:space="preserve">Safety incident</w:t>
      </w:r>
      <w:r>
        <w:rPr>
          <w:rFonts w:ascii="Arial" w:hAnsi="Arial"/>
          <w:sz w:val="24"/>
        </w:rPr>
        <w:t xml:space="preserve">: Patient choked nurse upon arrival due to inadequate staffing and poor preparation.</w:t>
      </w:r>
    </w:p>
    <w:p>
      <w:pPr>
        <w:pStyle w:val="ListParagraph"/>
        <w:numPr>
          <w:ilvl w:val="0"/>
          <w:numId w:val="1"/>
        </w:numPr>
      </w:pPr>
      <w:r>
        <w:rPr>
          <w:rFonts w:ascii="Arial" w:hAnsi="Arial"/>
          <w:sz w:val="24"/>
          <w:b/>
        </w:rPr>
        <w:t xml:space="preserve">Restraints</w:t>
      </w:r>
      <w:r>
        <w:rPr>
          <w:rFonts w:ascii="Arial" w:hAnsi="Arial"/>
          <w:sz w:val="24"/>
        </w:rPr>
        <w:t xml:space="preserve">: Four-point restraints applied after code; nursing responsibilities include frequent neurovascular checks, skin integrity, and gradual release.</w:t>
      </w:r>
    </w:p>
    <w:p>
      <w:pPr>
        <w:pStyle w:val="ListParagraph"/>
        <w:numPr>
          <w:ilvl w:val="0"/>
          <w:numId w:val="1"/>
        </w:numPr>
      </w:pPr>
      <w:r>
        <w:rPr>
          <w:rFonts w:ascii="Arial" w:hAnsi="Arial"/>
          <w:sz w:val="24"/>
          <w:b/>
        </w:rPr>
        <w:t xml:space="preserve">NMS concern</w:t>
      </w:r>
      <w:r>
        <w:rPr>
          <w:rFonts w:ascii="Arial" w:hAnsi="Arial"/>
          <w:sz w:val="24"/>
        </w:rPr>
        <w:t xml:space="preserve">: After cumulative </w:t>
      </w:r>
      <w:r>
        <w:rPr>
          <w:rFonts w:ascii="Arial" w:hAnsi="Arial"/>
          <w:sz w:val="24"/>
          <w:b/>
        </w:rPr>
        <w:t xml:space="preserve">20 mg Haldol</w:t>
      </w:r>
      <w:r>
        <w:rPr>
          <w:rFonts w:ascii="Arial" w:hAnsi="Arial"/>
          <w:sz w:val="24"/>
        </w:rPr>
        <w:t xml:space="preserve">, patient developed </w:t>
      </w:r>
      <w:r>
        <w:rPr>
          <w:rFonts w:ascii="Arial" w:hAnsi="Arial"/>
          <w:sz w:val="24"/>
          <w:b/>
        </w:rPr>
        <w:t xml:space="preserve">fever, tachycardia, hypertension</w:t>
      </w:r>
      <w:r>
        <w:rPr>
          <w:rFonts w:ascii="Arial" w:hAnsi="Arial"/>
          <w:sz w:val="24"/>
        </w:rPr>
        <w:t xml:space="preserve">; interventions: discontinue antipsychotics, cool patient, hydrate, give Tylenol, notify provider via SBAR.</w:t>
      </w:r>
    </w:p>
    <w:p>
      <w:pPr>
        <w:pStyle w:val="ListParagraph"/>
        <w:numPr>
          <w:ilvl w:val="0"/>
          <w:numId w:val="1"/>
        </w:numPr>
      </w:pPr>
      <w:r>
        <w:rPr>
          <w:rFonts w:ascii="Arial" w:hAnsi="Arial"/>
          <w:sz w:val="24"/>
          <w:b/>
        </w:rPr>
        <w:t xml:space="preserve">Medication change</w:t>
      </w:r>
      <w:r>
        <w:rPr>
          <w:rFonts w:ascii="Arial" w:hAnsi="Arial"/>
          <w:sz w:val="24"/>
        </w:rPr>
        <w:t xml:space="preserve">: Switched to </w:t>
      </w:r>
      <w:r>
        <w:rPr>
          <w:rFonts w:ascii="Arial" w:hAnsi="Arial"/>
          <w:sz w:val="24"/>
          <w:b/>
        </w:rPr>
        <w:t xml:space="preserve">clozapine (Clozaril)</w:t>
      </w:r>
      <w:r>
        <w:rPr>
          <w:rFonts w:ascii="Arial" w:hAnsi="Arial"/>
          <w:sz w:val="24"/>
        </w:rPr>
        <w:t xml:space="preserve"> and </w:t>
      </w:r>
      <w:r>
        <w:rPr>
          <w:rFonts w:ascii="Arial" w:hAnsi="Arial"/>
          <w:sz w:val="24"/>
          <w:b/>
        </w:rPr>
        <w:t xml:space="preserve">ziprasidone</w:t>
      </w:r>
      <w:r>
        <w:rPr>
          <w:rFonts w:ascii="Arial" w:hAnsi="Arial"/>
          <w:sz w:val="24"/>
        </w:rPr>
        <w:t xml:space="preserve">; </w:t>
      </w:r>
      <w:r>
        <w:rPr>
          <w:rFonts w:ascii="Arial" w:hAnsi="Arial"/>
          <w:sz w:val="24"/>
          <w:b/>
        </w:rPr>
        <w:t xml:space="preserve">WBC 3.2</w:t>
      </w:r>
      <w:r>
        <w:rPr>
          <w:rFonts w:ascii="Arial" w:hAnsi="Arial"/>
          <w:sz w:val="24"/>
        </w:rPr>
        <w:t xml:space="preserve"> triggered immediate discontinuation of clozapine due to risk of agranulocytosis; switched to </w:t>
      </w:r>
      <w:r>
        <w:rPr>
          <w:rFonts w:ascii="Arial" w:hAnsi="Arial"/>
          <w:sz w:val="24"/>
          <w:b/>
        </w:rPr>
        <w:t xml:space="preserve">risperidone</w:t>
      </w:r>
      <w:r>
        <w:rPr>
          <w:rFonts w:ascii="Arial" w:hAnsi="Arial"/>
          <w:sz w:val="24"/>
        </w:rPr>
        <w:t xml:space="preserve">.</w:t>
      </w:r>
    </w:p>
    <w:p>
      <w:pPr>
        <w:pStyle w:val="ListParagraph"/>
        <w:numPr>
          <w:ilvl w:val="0"/>
          <w:numId w:val="1"/>
        </w:numPr>
      </w:pPr>
      <w:r>
        <w:rPr>
          <w:rFonts w:ascii="Arial" w:hAnsi="Arial"/>
          <w:sz w:val="24"/>
          <w:b/>
        </w:rPr>
        <w:t xml:space="preserve">Patient-centered care</w:t>
      </w:r>
      <w:r>
        <w:rPr>
          <w:rFonts w:ascii="Arial" w:hAnsi="Arial"/>
          <w:sz w:val="24"/>
        </w:rPr>
        <w:t xml:space="preserve">: Encourage shared decision-making; respect patient's refusal of medications; involve treatment team.</w:t>
      </w:r>
    </w:p>
    <w:p>
      <w:pPr>
        <w:pStyle w:val="ListParagraph"/>
        <w:numPr>
          <w:ilvl w:val="0"/>
          <w:numId w:val="1"/>
        </w:numPr>
      </w:pPr>
      <w:r>
        <w:rPr>
          <w:rFonts w:ascii="Arial" w:hAnsi="Arial"/>
          <w:sz w:val="24"/>
          <w:b/>
        </w:rPr>
        <w:t xml:space="preserve">Adherence strategies</w:t>
      </w:r>
      <w:r>
        <w:rPr>
          <w:rFonts w:ascii="Arial" w:hAnsi="Arial"/>
          <w:sz w:val="24"/>
        </w:rPr>
        <w:t xml:space="preserve">: Recommend </w:t>
      </w:r>
      <w:r>
        <w:rPr>
          <w:rFonts w:ascii="Arial" w:hAnsi="Arial"/>
          <w:sz w:val="24"/>
          <w:b/>
        </w:rPr>
        <w:t xml:space="preserve">long-acting injectables (e.g., Risperdal Consta)</w:t>
      </w:r>
      <w:r>
        <w:rPr>
          <w:rFonts w:ascii="Arial" w:hAnsi="Arial"/>
          <w:sz w:val="24"/>
        </w:rPr>
        <w:t xml:space="preserve">; address cost barriers via pharmacy, social work, and patient assistance programs.</w:t>
      </w:r>
    </w:p>
    <w:p>
      <w:pPr>
        <w:pStyle w:val="ListParagraph"/>
        <w:numPr>
          <w:ilvl w:val="0"/>
          <w:numId w:val="1"/>
        </w:numPr>
      </w:pPr>
      <w:r>
        <w:rPr>
          <w:rFonts w:ascii="Arial" w:hAnsi="Arial"/>
          <w:sz w:val="24"/>
          <w:b/>
        </w:rPr>
        <w:t xml:space="preserve">EPS assessment</w:t>
      </w:r>
      <w:r>
        <w:rPr>
          <w:rFonts w:ascii="Arial" w:hAnsi="Arial"/>
          <w:sz w:val="24"/>
        </w:rPr>
        <w:t xml:space="preserve">: Patient reported chewing sensation; use </w:t>
      </w:r>
      <w:r>
        <w:rPr>
          <w:rFonts w:ascii="Arial" w:hAnsi="Arial"/>
          <w:sz w:val="24"/>
          <w:b/>
        </w:rPr>
        <w:t xml:space="preserve">AIMS</w:t>
      </w:r>
      <w:r>
        <w:rPr>
          <w:rFonts w:ascii="Arial" w:hAnsi="Arial"/>
          <w:sz w:val="24"/>
        </w:rPr>
        <w:t xml:space="preserve"> to evaluate for </w:t>
      </w:r>
      <w:r>
        <w:rPr>
          <w:rFonts w:ascii="Arial" w:hAnsi="Arial"/>
          <w:sz w:val="24"/>
          <w:b/>
        </w:rPr>
        <w:t xml:space="preserve">tardive dyskinesia</w:t>
      </w:r>
      <w:r>
        <w:rPr>
          <w:rFonts w:ascii="Arial" w:hAnsi="Arial"/>
          <w:sz w:val="24"/>
        </w:rPr>
        <w:t xml:space="preserve">.</w:t>
      </w:r>
    </w:p>
    <w:p>
      <w:pPr>
        <w:spacing w:after="200"/>
      </w:pPr>
      <w:r>
        <w:rPr>
          <w:rFonts w:ascii="Arial" w:hAnsi="Arial"/>
          <w:sz w:val="24"/>
        </w:rPr>
        <w:t xml:space="preserve">Key themes: Safety, SBAR communication, medication vigilance, holistic care, and patient autonomy.</w:t>
      </w:r>
    </w:p>
    <w:p>
      <w:pPr>
        <w:spacing w:after="200"/>
      </w:pPr>
      <w:r>
        <w:rPr>
          <w:rFonts w:ascii="Arial" w:hAnsi="Arial"/>
          <w:sz w:val="28"/>
          <w:b/>
        </w:rPr>
        <w:t xml:space="preserve">EPS Assessment, Nursing Diagnoses, and Discharge Planning</w:t>
      </w:r>
    </w:p>
    <w:p>
      <w:pPr>
        <w:pStyle w:val="ListParagraph"/>
        <w:numPr>
          <w:ilvl w:val="0"/>
          <w:numId w:val="1"/>
        </w:numPr>
      </w:pPr>
      <w:r>
        <w:rPr>
          <w:rFonts w:ascii="Arial" w:hAnsi="Arial"/>
          <w:sz w:val="24"/>
          <w:b/>
        </w:rPr>
        <w:t xml:space="preserve">Extrapyramidal symptoms (EPS)</w:t>
      </w:r>
      <w:r>
        <w:rPr>
          <w:rFonts w:ascii="Arial" w:hAnsi="Arial"/>
          <w:sz w:val="24"/>
        </w:rPr>
        <w:t xml:space="preserve">: Assessed using </w:t>
      </w:r>
      <w:r>
        <w:rPr>
          <w:rFonts w:ascii="Arial" w:hAnsi="Arial"/>
          <w:sz w:val="24"/>
          <w:b/>
        </w:rPr>
        <w:t xml:space="preserve">Abnormal Involuntary Movement Scale (AIMS)</w:t>
      </w:r>
      <w:r>
        <w:rPr>
          <w:rFonts w:ascii="Arial" w:hAnsi="Arial"/>
          <w:sz w:val="24"/>
        </w:rPr>
        <w:t xml:space="preserve">; any score &gt;0 requires follow-up.</w:t>
      </w:r>
    </w:p>
    <w:p>
      <w:pPr>
        <w:pStyle w:val="ListParagraph"/>
        <w:numPr>
          <w:ilvl w:val="0"/>
          <w:numId w:val="1"/>
        </w:numPr>
      </w:pPr>
      <w:r>
        <w:rPr>
          <w:rFonts w:ascii="Arial" w:hAnsi="Arial"/>
          <w:sz w:val="24"/>
          <w:b/>
        </w:rPr>
        <w:t xml:space="preserve">Medications for EPS</w:t>
      </w:r>
      <w:r>
        <w:rPr>
          <w:rFonts w:ascii="Arial" w:hAnsi="Arial"/>
          <w:sz w:val="24"/>
        </w:rPr>
        <w:t xml:space="preserve">: </w:t>
      </w:r>
      <w:r>
        <w:rPr>
          <w:rFonts w:ascii="Arial" w:hAnsi="Arial"/>
          <w:sz w:val="24"/>
          <w:b/>
        </w:rPr>
        <w:t xml:space="preserve">Benztropine (Cogentin)</w:t>
      </w:r>
      <w:r>
        <w:rPr>
          <w:rFonts w:ascii="Arial" w:hAnsi="Arial"/>
          <w:sz w:val="24"/>
        </w:rPr>
        <w:t xml:space="preserve"> and </w:t>
      </w:r>
      <w:r>
        <w:rPr>
          <w:rFonts w:ascii="Arial" w:hAnsi="Arial"/>
          <w:sz w:val="24"/>
          <w:b/>
        </w:rPr>
        <w:t xml:space="preserve">dicyclomine</w:t>
      </w:r>
      <w:r>
        <w:rPr>
          <w:rFonts w:ascii="Arial" w:hAnsi="Arial"/>
          <w:sz w:val="24"/>
        </w:rPr>
        <w:t xml:space="preserve">; atrophy is unrelated.</w:t>
      </w:r>
    </w:p>
    <w:p>
      <w:pPr>
        <w:pStyle w:val="ListParagraph"/>
        <w:numPr>
          <w:ilvl w:val="0"/>
          <w:numId w:val="1"/>
        </w:numPr>
      </w:pPr>
      <w:r>
        <w:rPr>
          <w:rFonts w:ascii="Arial" w:hAnsi="Arial"/>
          <w:sz w:val="24"/>
          <w:b/>
        </w:rPr>
        <w:t xml:space="preserve">Nursing diagnoses for psychotic patients</w:t>
      </w:r>
      <w:r>
        <w:rPr>
          <w:rFonts w:ascii="Arial" w:hAnsi="Arial"/>
          <w:sz w:val="24"/>
        </w:rPr>
        <w:t xml:space="preserve">: Include impaired ADLs, medication non-adherence, risk for infection (especially with </w:t>
      </w:r>
      <w:r>
        <w:rPr>
          <w:rFonts w:ascii="Arial" w:hAnsi="Arial"/>
          <w:sz w:val="24"/>
          <w:b/>
        </w:rPr>
        <w:t xml:space="preserve">clozapine</w:t>
      </w:r>
      <w:r>
        <w:rPr>
          <w:rFonts w:ascii="Arial" w:hAnsi="Arial"/>
          <w:sz w:val="24"/>
        </w:rPr>
        <w:t xml:space="preserve">), risk for violence/self-harm, impaired thought processes, ineffective coping, social isolation, impaired sensory-perceptual function, self-care deficits, sleep disturbances, and chronic low self-esteem (diagnosed with improved insight).</w:t>
      </w:r>
    </w:p>
    <w:p>
      <w:pPr>
        <w:pStyle w:val="ListParagraph"/>
        <w:numPr>
          <w:ilvl w:val="0"/>
          <w:numId w:val="1"/>
        </w:numPr>
      </w:pPr>
      <w:r>
        <w:rPr>
          <w:rFonts w:ascii="Arial" w:hAnsi="Arial"/>
          <w:sz w:val="24"/>
          <w:b/>
        </w:rPr>
        <w:t xml:space="preserve">Family visitation</w:t>
      </w:r>
      <w:r>
        <w:rPr>
          <w:rFonts w:ascii="Arial" w:hAnsi="Arial"/>
          <w:sz w:val="24"/>
        </w:rPr>
        <w:t xml:space="preserve">: Prioritize patient autonomy; ask patient first, prepare them, brief family; respect patient's refusal.</w:t>
      </w:r>
    </w:p>
    <w:p>
      <w:pPr>
        <w:pStyle w:val="ListParagraph"/>
        <w:numPr>
          <w:ilvl w:val="0"/>
          <w:numId w:val="1"/>
        </w:numPr>
      </w:pPr>
      <w:r>
        <w:rPr>
          <w:rFonts w:ascii="Arial" w:hAnsi="Arial"/>
          <w:sz w:val="24"/>
          <w:b/>
        </w:rPr>
        <w:t xml:space="preserve">Discharge planning</w:t>
      </w:r>
      <w:r>
        <w:rPr>
          <w:rFonts w:ascii="Arial" w:hAnsi="Arial"/>
          <w:sz w:val="24"/>
        </w:rPr>
        <w:t xml:space="preserve">: Patient placed in </w:t>
      </w:r>
      <w:r>
        <w:rPr>
          <w:rFonts w:ascii="Arial" w:hAnsi="Arial"/>
          <w:sz w:val="24"/>
          <w:b/>
        </w:rPr>
        <w:t xml:space="preserve">halfway house</w:t>
      </w:r>
      <w:r>
        <w:rPr>
          <w:rFonts w:ascii="Arial" w:hAnsi="Arial"/>
          <w:sz w:val="24"/>
        </w:rPr>
        <w:t xml:space="preserve"> with </w:t>
      </w:r>
      <w:r>
        <w:rPr>
          <w:rFonts w:ascii="Arial" w:hAnsi="Arial"/>
          <w:sz w:val="24"/>
          <w:b/>
        </w:rPr>
        <w:t xml:space="preserve">risperidone injections</w:t>
      </w:r>
      <w:r>
        <w:rPr>
          <w:rFonts w:ascii="Arial" w:hAnsi="Arial"/>
          <w:sz w:val="24"/>
        </w:rPr>
        <w:t xml:space="preserve"> and </w:t>
      </w:r>
      <w:r>
        <w:rPr>
          <w:rFonts w:ascii="Arial" w:hAnsi="Arial"/>
          <w:sz w:val="24"/>
          <w:b/>
        </w:rPr>
        <w:t xml:space="preserve">transportation support</w:t>
      </w:r>
      <w:r>
        <w:rPr>
          <w:rFonts w:ascii="Arial" w:hAnsi="Arial"/>
          <w:sz w:val="24"/>
        </w:rPr>
        <w:t xml:space="preserve"> for continuity of care.</w:t>
      </w:r>
    </w:p>
    <w:p>
      <w:pPr>
        <w:pStyle w:val="ListParagraph"/>
        <w:numPr>
          <w:ilvl w:val="0"/>
          <w:numId w:val="1"/>
        </w:numPr>
      </w:pPr>
      <w:r>
        <w:rPr>
          <w:rFonts w:ascii="Arial" w:hAnsi="Arial"/>
          <w:sz w:val="24"/>
          <w:b/>
        </w:rPr>
        <w:t xml:space="preserve">HIPAA considerations</w:t>
      </w:r>
      <w:r>
        <w:rPr>
          <w:rFonts w:ascii="Arial" w:hAnsi="Arial"/>
          <w:sz w:val="24"/>
        </w:rPr>
        <w:t xml:space="preserve">: Cannot disclose patient information (e.g., discharge time) without </w:t>
      </w:r>
      <w:r>
        <w:rPr>
          <w:rFonts w:ascii="Arial" w:hAnsi="Arial"/>
          <w:sz w:val="24"/>
          <w:b/>
        </w:rPr>
        <w:t xml:space="preserve">explicit consent</w:t>
      </w:r>
      <w:r>
        <w:rPr>
          <w:rFonts w:ascii="Arial" w:hAnsi="Arial"/>
          <w:sz w:val="24"/>
        </w:rPr>
        <w:t xml:space="preserve">; if brother calls, ask patient permission or decline to share.</w:t>
      </w:r>
    </w:p>
    <w:p>
      <w:pPr>
        <w:pStyle w:val="ListParagraph"/>
        <w:numPr>
          <w:ilvl w:val="0"/>
          <w:numId w:val="1"/>
        </w:numPr>
      </w:pPr>
      <w:r>
        <w:rPr>
          <w:rFonts w:ascii="Arial" w:hAnsi="Arial"/>
          <w:sz w:val="24"/>
          <w:b/>
        </w:rPr>
        <w:t xml:space="preserve">SBAR at discharge</w:t>
      </w:r>
      <w:r>
        <w:rPr>
          <w:rFonts w:ascii="Arial" w:hAnsi="Arial"/>
          <w:sz w:val="24"/>
        </w:rPr>
        <w:t xml:space="preserve">: Include ER presentation, med history, current regimen, </w:t>
      </w:r>
      <w:r>
        <w:rPr>
          <w:rFonts w:ascii="Arial" w:hAnsi="Arial"/>
          <w:sz w:val="24"/>
          <w:b/>
        </w:rPr>
        <w:t xml:space="preserve">AIMS results</w:t>
      </w:r>
      <w:r>
        <w:rPr>
          <w:rFonts w:ascii="Arial" w:hAnsi="Arial"/>
          <w:sz w:val="24"/>
        </w:rPr>
        <w:t xml:space="preserve">, </w:t>
      </w:r>
      <w:r>
        <w:rPr>
          <w:rFonts w:ascii="Arial" w:hAnsi="Arial"/>
          <w:sz w:val="24"/>
          <w:b/>
        </w:rPr>
        <w:t xml:space="preserve">MAR review</w:t>
      </w:r>
      <w:r>
        <w:rPr>
          <w:rFonts w:ascii="Arial" w:hAnsi="Arial"/>
          <w:sz w:val="24"/>
        </w:rPr>
        <w:t xml:space="preserve">, and risks for violence/self-harm.</w:t>
      </w:r>
    </w:p>
    <w:p>
      <w:pPr>
        <w:pStyle w:val="ListParagraph"/>
        <w:numPr>
          <w:ilvl w:val="0"/>
          <w:numId w:val="1"/>
        </w:numPr>
      </w:pPr>
      <w:r>
        <w:rPr>
          <w:rFonts w:ascii="Arial" w:hAnsi="Arial"/>
          <w:sz w:val="24"/>
          <w:b/>
        </w:rPr>
        <w:t xml:space="preserve">Information sharing with community resources</w:t>
      </w:r>
      <w:r>
        <w:rPr>
          <w:rFonts w:ascii="Arial" w:hAnsi="Arial"/>
          <w:sz w:val="24"/>
        </w:rPr>
        <w:t xml:space="preserve">: With medical staff at halfway house, sharing may be allowed under treatment exception; with non-medical landlords, written consent is needed.</w:t>
      </w:r>
    </w:p>
    <w:p>
      <w:pPr>
        <w:pStyle w:val="ListParagraph"/>
        <w:numPr>
          <w:ilvl w:val="0"/>
          <w:numId w:val="1"/>
        </w:numPr>
      </w:pPr>
      <w:r>
        <w:rPr>
          <w:rFonts w:ascii="Arial" w:hAnsi="Arial"/>
          <w:sz w:val="24"/>
          <w:b/>
        </w:rPr>
        <w:t xml:space="preserve">Patient emotions at discharge</w:t>
      </w:r>
      <w:r>
        <w:rPr>
          <w:rFonts w:ascii="Arial" w:hAnsi="Arial"/>
          <w:sz w:val="24"/>
        </w:rPr>
        <w:t xml:space="preserve">: May feel anxious, scared, traumatized, or overwhelmed by loss of structured environment.</w:t>
      </w:r>
    </w:p>
    <w:p>
      <w:pPr>
        <w:pStyle w:val="ListParagraph"/>
        <w:numPr>
          <w:ilvl w:val="0"/>
          <w:numId w:val="1"/>
        </w:numPr>
      </w:pPr>
      <w:r>
        <w:rPr>
          <w:rFonts w:ascii="Arial" w:hAnsi="Arial"/>
          <w:sz w:val="24"/>
          <w:b/>
        </w:rPr>
        <w:t xml:space="preserve">Family emotions</w:t>
      </w:r>
      <w:r>
        <w:rPr>
          <w:rFonts w:ascii="Arial" w:hAnsi="Arial"/>
          <w:sz w:val="24"/>
        </w:rPr>
        <w:t xml:space="preserve">: Hopeful but worried about relapse; relieved of caregiving burden.</w:t>
      </w:r>
    </w:p>
    <w:p>
      <w:pPr>
        <w:pStyle w:val="ListParagraph"/>
        <w:numPr>
          <w:ilvl w:val="0"/>
          <w:numId w:val="1"/>
        </w:numPr>
      </w:pPr>
      <w:r>
        <w:rPr>
          <w:rFonts w:ascii="Arial" w:hAnsi="Arial"/>
          <w:sz w:val="24"/>
          <w:b/>
        </w:rPr>
        <w:t xml:space="preserve">Educational resources</w:t>
      </w:r>
      <w:r>
        <w:rPr>
          <w:rFonts w:ascii="Arial" w:hAnsi="Arial"/>
          <w:sz w:val="24"/>
        </w:rPr>
        <w:t xml:space="preserve">: Instructor to post documentary </w:t>
      </w:r>
      <w:r>
        <w:rPr>
          <w:rFonts w:ascii="Arial" w:hAnsi="Arial"/>
          <w:sz w:val="24"/>
          <w:i/>
        </w:rPr>
        <w:t xml:space="preserve">Schizophrenic Heart Run</w:t>
      </w:r>
      <w:r>
        <w:rPr>
          <w:rFonts w:ascii="Arial" w:hAnsi="Arial"/>
          <w:sz w:val="24"/>
        </w:rPr>
        <w:t xml:space="preserve">, full PowerPoint, and AI-generated visuals differentiating schizophrenia, schizotypal, and schizoaffective disorders.</w:t>
      </w:r>
    </w:p>
    <w:p>
      <w:pPr>
        <w:spacing w:after="200"/>
      </w:pPr>
      <w:r>
        <w:rPr>
          <w:rFonts w:ascii="Arial" w:hAnsi="Arial"/>
          <w:sz w:val="28"/>
          <w:b/>
        </w:rPr>
        <w:t xml:space="preserve">Somatic and Factitious Disorders: Diagnosis and Clinical Management</w:t>
      </w:r>
    </w:p>
    <w:p>
      <w:pPr>
        <w:pStyle w:val="ListParagraph"/>
        <w:numPr>
          <w:ilvl w:val="0"/>
          <w:numId w:val="1"/>
        </w:numPr>
      </w:pPr>
      <w:r>
        <w:rPr>
          <w:rFonts w:ascii="Arial" w:hAnsi="Arial"/>
          <w:sz w:val="24"/>
          <w:b/>
        </w:rPr>
        <w:t xml:space="preserve">Somatic symptom disorder</w:t>
      </w:r>
      <w:r>
        <w:rPr>
          <w:rFonts w:ascii="Arial" w:hAnsi="Arial"/>
          <w:sz w:val="24"/>
        </w:rPr>
        <w:t xml:space="preserve">: Physical symptoms (e.g., pain, GI issues) without medical cause; cause functional impairment; symptoms are real and distressing.</w:t>
      </w:r>
    </w:p>
    <w:p>
      <w:pPr>
        <w:pStyle w:val="ListParagraph"/>
        <w:numPr>
          <w:ilvl w:val="0"/>
          <w:numId w:val="1"/>
        </w:numPr>
      </w:pPr>
      <w:r>
        <w:rPr>
          <w:rFonts w:ascii="Arial" w:hAnsi="Arial"/>
          <w:sz w:val="24"/>
          <w:b/>
        </w:rPr>
        <w:t xml:space="preserve">Illness anxiety disorder</w:t>
      </w:r>
      <w:r>
        <w:rPr>
          <w:rFonts w:ascii="Arial" w:hAnsi="Arial"/>
          <w:sz w:val="24"/>
        </w:rPr>
        <w:t xml:space="preserve"> (formerly hypochondriasis): Fear of serious illness with minimal/no symptoms; involves excessive body checking and health anxiety.</w:t>
      </w:r>
    </w:p>
    <w:p>
      <w:pPr>
        <w:pStyle w:val="ListParagraph"/>
        <w:numPr>
          <w:ilvl w:val="0"/>
          <w:numId w:val="1"/>
        </w:numPr>
      </w:pPr>
      <w:r>
        <w:rPr>
          <w:rFonts w:ascii="Arial" w:hAnsi="Arial"/>
          <w:sz w:val="24"/>
          <w:b/>
        </w:rPr>
        <w:t xml:space="preserve">Functional neurologic symptom disorder (FNSD)</w:t>
      </w:r>
      <w:r>
        <w:rPr>
          <w:rFonts w:ascii="Arial" w:hAnsi="Arial"/>
          <w:sz w:val="24"/>
        </w:rPr>
        <w:t xml:space="preserve">: Neurological symptoms (e.g., paralysis, seizures) without organic basis; formerly called </w:t>
      </w:r>
      <w:r>
        <w:rPr>
          <w:rFonts w:ascii="Arial" w:hAnsi="Arial"/>
          <w:sz w:val="24"/>
          <w:b/>
        </w:rPr>
        <w:t xml:space="preserve">conversion disorder</w:t>
      </w:r>
      <w:r>
        <w:rPr>
          <w:rFonts w:ascii="Arial" w:hAnsi="Arial"/>
          <w:sz w:val="24"/>
        </w:rPr>
        <w:t xml:space="preserve">.</w:t>
      </w:r>
    </w:p>
    <w:p>
      <w:pPr>
        <w:pStyle w:val="ListParagraph"/>
        <w:numPr>
          <w:ilvl w:val="0"/>
          <w:numId w:val="1"/>
        </w:numPr>
      </w:pPr>
      <w:r>
        <w:rPr>
          <w:rFonts w:ascii="Arial" w:hAnsi="Arial"/>
          <w:sz w:val="24"/>
          <w:b/>
        </w:rPr>
        <w:t xml:space="preserve">Factitious disorder</w:t>
      </w:r>
      <w:r>
        <w:rPr>
          <w:rFonts w:ascii="Arial" w:hAnsi="Arial"/>
          <w:sz w:val="24"/>
        </w:rPr>
        <w:t xml:space="preserve">: Intentional symptom fabrication without external gain; subtypes:</w:t>
      </w:r>
    </w:p>
    <w:p>
      <w:pPr>
        <w:pStyle w:val="ListParagraph"/>
        <w:numPr>
          <w:ilvl w:val="1"/>
          <w:numId w:val="1"/>
        </w:numPr>
      </w:pPr>
      <w:r>
        <w:rPr>
          <w:rFonts w:ascii="Arial" w:hAnsi="Arial"/>
          <w:sz w:val="24"/>
          <w:b/>
        </w:rPr>
        <w:t xml:space="preserve">Imposed on self</w:t>
      </w:r>
      <w:r>
        <w:rPr>
          <w:rFonts w:ascii="Arial" w:hAnsi="Arial"/>
          <w:sz w:val="24"/>
        </w:rPr>
        <w:t xml:space="preserve">: Self-harm to assume sick role.</w:t>
      </w:r>
    </w:p>
    <w:p>
      <w:pPr>
        <w:pStyle w:val="ListParagraph"/>
        <w:numPr>
          <w:ilvl w:val="1"/>
          <w:numId w:val="1"/>
        </w:numPr>
      </w:pPr>
      <w:r>
        <w:rPr>
          <w:rFonts w:ascii="Arial" w:hAnsi="Arial"/>
          <w:sz w:val="24"/>
          <w:b/>
        </w:rPr>
        <w:t xml:space="preserve">Imposed on another</w:t>
      </w:r>
      <w:r>
        <w:rPr>
          <w:rFonts w:ascii="Arial" w:hAnsi="Arial"/>
          <w:sz w:val="24"/>
        </w:rPr>
        <w:t xml:space="preserve">: Caregiver harms vulnerable person (e.g., </w:t>
      </w:r>
      <w:r>
        <w:rPr>
          <w:rFonts w:ascii="Arial" w:hAnsi="Arial"/>
          <w:sz w:val="24"/>
          <w:b/>
        </w:rPr>
        <w:t xml:space="preserve">Munchausen by proxy</w:t>
      </w:r>
      <w:r>
        <w:rPr>
          <w:rFonts w:ascii="Arial" w:hAnsi="Arial"/>
          <w:sz w:val="24"/>
        </w:rPr>
        <w:t xml:space="preserve">); example: </w:t>
      </w:r>
      <w:r>
        <w:rPr>
          <w:rFonts w:ascii="Arial" w:hAnsi="Arial"/>
          <w:sz w:val="24"/>
          <w:b/>
        </w:rPr>
        <w:t xml:space="preserve">Gypsy Rose</w:t>
      </w:r>
      <w:r>
        <w:rPr>
          <w:rFonts w:ascii="Arial" w:hAnsi="Arial"/>
          <w:sz w:val="24"/>
        </w:rPr>
        <w:t xml:space="preserve"> case.</w:t>
      </w:r>
    </w:p>
    <w:p>
      <w:pPr>
        <w:pStyle w:val="ListParagraph"/>
        <w:numPr>
          <w:ilvl w:val="0"/>
          <w:numId w:val="1"/>
        </w:numPr>
      </w:pPr>
      <w:r>
        <w:rPr>
          <w:rFonts w:ascii="Arial" w:hAnsi="Arial"/>
          <w:sz w:val="24"/>
          <w:b/>
        </w:rPr>
        <w:t xml:space="preserve">Differentiation</w:t>
      </w:r>
      <w:r>
        <w:rPr>
          <w:rFonts w:ascii="Arial" w:hAnsi="Arial"/>
          <w:sz w:val="24"/>
        </w:rPr>
        <w:t xml:space="preserve">: Conditions with confirmed medical causes (e.g., epilepsy) are not FNSD or somatic disorders; comorbid anxiety with medical illness is not automatically a somatic disorder.</w:t>
      </w:r>
    </w:p>
    <w:p>
      <w:pPr>
        <w:pStyle w:val="ListParagraph"/>
        <w:numPr>
          <w:ilvl w:val="0"/>
          <w:numId w:val="1"/>
        </w:numPr>
      </w:pPr>
      <w:r>
        <w:rPr>
          <w:rFonts w:ascii="Arial" w:hAnsi="Arial"/>
          <w:sz w:val="24"/>
          <w:b/>
        </w:rPr>
        <w:t xml:space="preserve">Comorbidities</w:t>
      </w:r>
      <w:r>
        <w:rPr>
          <w:rFonts w:ascii="Arial" w:hAnsi="Arial"/>
          <w:sz w:val="24"/>
        </w:rPr>
        <w:t xml:space="preserve">: Both somatic and dissociative disorders often co-occur with anxiety, depression, PTSD; strongly linked to </w:t>
      </w:r>
      <w:r>
        <w:rPr>
          <w:rFonts w:ascii="Arial" w:hAnsi="Arial"/>
          <w:sz w:val="24"/>
          <w:b/>
        </w:rPr>
        <w:t xml:space="preserve">trauma</w:t>
      </w:r>
      <w:r>
        <w:rPr>
          <w:rFonts w:ascii="Arial" w:hAnsi="Arial"/>
          <w:sz w:val="24"/>
        </w:rPr>
        <w:t xml:space="preserve">, especially in childhood.</w:t>
      </w:r>
    </w:p>
    <w:p>
      <w:pPr>
        <w:pStyle w:val="ListParagraph"/>
        <w:numPr>
          <w:ilvl w:val="0"/>
          <w:numId w:val="1"/>
        </w:numPr>
      </w:pPr>
      <w:r>
        <w:rPr>
          <w:rFonts w:ascii="Arial" w:hAnsi="Arial"/>
          <w:sz w:val="24"/>
          <w:b/>
        </w:rPr>
        <w:t xml:space="preserve">Nursing considerations</w:t>
      </w:r>
      <w:r>
        <w:rPr>
          <w:rFonts w:ascii="Arial" w:hAnsi="Arial"/>
          <w:sz w:val="24"/>
        </w:rPr>
        <w:t xml:space="preserve">: Conduct thorough physical assessment to rule out real illness; avoid unnecessary testing; assess suicide risk; validate patient experience.</w:t>
      </w:r>
    </w:p>
    <w:p>
      <w:pPr>
        <w:pStyle w:val="ListParagraph"/>
        <w:numPr>
          <w:ilvl w:val="0"/>
          <w:numId w:val="1"/>
        </w:numPr>
      </w:pPr>
      <w:r>
        <w:rPr>
          <w:rFonts w:ascii="Arial" w:hAnsi="Arial"/>
          <w:sz w:val="24"/>
          <w:b/>
        </w:rPr>
        <w:t xml:space="preserve">Treatment</w:t>
      </w:r>
      <w:r>
        <w:rPr>
          <w:rFonts w:ascii="Arial" w:hAnsi="Arial"/>
          <w:sz w:val="24"/>
        </w:rPr>
        <w:t xml:space="preserve">:</w:t>
      </w:r>
    </w:p>
    <w:p>
      <w:pPr>
        <w:pStyle w:val="ListParagraph"/>
        <w:numPr>
          <w:ilvl w:val="1"/>
          <w:numId w:val="1"/>
        </w:numPr>
      </w:pPr>
      <w:r>
        <w:rPr>
          <w:rFonts w:ascii="Arial" w:hAnsi="Arial"/>
          <w:sz w:val="24"/>
          <w:b/>
        </w:rPr>
        <w:t xml:space="preserve">Somatic/illness anxiety disorders</w:t>
      </w:r>
      <w:r>
        <w:rPr>
          <w:rFonts w:ascii="Arial" w:hAnsi="Arial"/>
          <w:sz w:val="24"/>
        </w:rPr>
        <w:t xml:space="preserve">: CBT, SSRIs, anxiolytics.</w:t>
      </w:r>
    </w:p>
    <w:p>
      <w:pPr>
        <w:pStyle w:val="ListParagraph"/>
        <w:numPr>
          <w:ilvl w:val="1"/>
          <w:numId w:val="1"/>
        </w:numPr>
      </w:pPr>
      <w:r>
        <w:rPr>
          <w:rFonts w:ascii="Arial" w:hAnsi="Arial"/>
          <w:sz w:val="24"/>
          <w:b/>
        </w:rPr>
        <w:t xml:space="preserve">FNSD</w:t>
      </w:r>
      <w:r>
        <w:rPr>
          <w:rFonts w:ascii="Arial" w:hAnsi="Arial"/>
          <w:sz w:val="24"/>
        </w:rPr>
        <w:t xml:space="preserve">: Psychotherapy + rehabilitative therapy (PT/OT).</w:t>
      </w:r>
    </w:p>
    <w:p>
      <w:pPr>
        <w:pStyle w:val="ListParagraph"/>
        <w:numPr>
          <w:ilvl w:val="1"/>
          <w:numId w:val="1"/>
        </w:numPr>
      </w:pPr>
      <w:r>
        <w:rPr>
          <w:rFonts w:ascii="Arial" w:hAnsi="Arial"/>
          <w:sz w:val="24"/>
          <w:b/>
        </w:rPr>
        <w:t xml:space="preserve">Factitious disorder</w:t>
      </w:r>
      <w:r>
        <w:rPr>
          <w:rFonts w:ascii="Arial" w:hAnsi="Arial"/>
          <w:sz w:val="24"/>
        </w:rPr>
        <w:t xml:space="preserve">: Multidisciplinary approach; avoid confrontation; may require legal intervention if harm to others.</w:t>
      </w:r>
    </w:p>
    <w:p>
      <w:pPr>
        <w:pStyle w:val="ListParagraph"/>
        <w:numPr>
          <w:ilvl w:val="0"/>
          <w:numId w:val="1"/>
        </w:numPr>
      </w:pPr>
      <w:r>
        <w:rPr>
          <w:rFonts w:ascii="Arial" w:hAnsi="Arial"/>
          <w:sz w:val="24"/>
          <w:b/>
        </w:rPr>
        <w:t xml:space="preserve">Key disorders</w:t>
      </w:r>
      <w:r>
        <w:rPr>
          <w:rFonts w:ascii="Arial" w:hAnsi="Arial"/>
          <w:sz w:val="24"/>
        </w:rPr>
        <w:t xml:space="preserve">:</w:t>
      </w:r>
    </w:p>
    <w:p>
      <w:pPr>
        <w:pStyle w:val="ListParagraph"/>
        <w:numPr>
          <w:ilvl w:val="1"/>
          <w:numId w:val="1"/>
        </w:numPr>
      </w:pPr>
      <w:r>
        <w:rPr>
          <w:rFonts w:ascii="Arial" w:hAnsi="Arial"/>
          <w:sz w:val="24"/>
        </w:rPr>
        <w:t xml:space="preserve">Somatic-related: Somatic symptom, illness anxiety, FNSD, factitious (self/other).</w:t>
      </w:r>
    </w:p>
    <w:p>
      <w:pPr>
        <w:pStyle w:val="ListParagraph"/>
        <w:numPr>
          <w:ilvl w:val="1"/>
          <w:numId w:val="1"/>
        </w:numPr>
      </w:pPr>
      <w:r>
        <w:rPr>
          <w:rFonts w:ascii="Arial" w:hAnsi="Arial"/>
          <w:sz w:val="24"/>
        </w:rPr>
        <w:t xml:space="preserve">Dissociative: Depersonalization/derealization, dissociative amnesia (with/without fugue), DID.</w:t>
      </w:r>
    </w:p>
    <w:p>
      <w:pPr>
        <w:spacing w:after="200"/>
      </w:pPr>
      <w:r>
        <w:rPr>
          <w:rFonts w:ascii="Arial" w:hAnsi="Arial"/>
          <w:sz w:val="28"/>
          <w:b/>
        </w:rPr>
        <w:t xml:space="preserve">Dissociative Disorders: Types, Trauma Links, and Therapeutic Approaches</w:t>
      </w:r>
    </w:p>
    <w:p>
      <w:pPr>
        <w:pStyle w:val="ListParagraph"/>
        <w:numPr>
          <w:ilvl w:val="0"/>
          <w:numId w:val="1"/>
        </w:numPr>
      </w:pPr>
      <w:r>
        <w:rPr>
          <w:rFonts w:ascii="Arial" w:hAnsi="Arial"/>
          <w:sz w:val="24"/>
          <w:b/>
        </w:rPr>
        <w:t xml:space="preserve">Dissociative disorders</w:t>
      </w:r>
      <w:r>
        <w:rPr>
          <w:rFonts w:ascii="Arial" w:hAnsi="Arial"/>
          <w:sz w:val="24"/>
        </w:rPr>
        <w:t xml:space="preserve">: Linked to trauma, especially childhood abuse; involve disruptions in identity, memory, or perception.</w:t>
      </w:r>
    </w:p>
    <w:p>
      <w:pPr>
        <w:pStyle w:val="ListParagraph"/>
        <w:numPr>
          <w:ilvl w:val="0"/>
          <w:numId w:val="1"/>
        </w:numPr>
      </w:pPr>
      <w:r>
        <w:rPr>
          <w:rFonts w:ascii="Arial" w:hAnsi="Arial"/>
          <w:sz w:val="24"/>
          <w:b/>
        </w:rPr>
        <w:t xml:space="preserve">Types</w:t>
      </w:r>
      <w:r>
        <w:rPr>
          <w:rFonts w:ascii="Arial" w:hAnsi="Arial"/>
          <w:sz w:val="24"/>
        </w:rPr>
        <w:t xml:space="preserve">:</w:t>
      </w:r>
    </w:p>
    <w:p>
      <w:pPr>
        <w:pStyle w:val="ListParagraph"/>
        <w:numPr>
          <w:ilvl w:val="1"/>
          <w:numId w:val="1"/>
        </w:numPr>
      </w:pPr>
      <w:r>
        <w:rPr>
          <w:rFonts w:ascii="Arial" w:hAnsi="Arial"/>
          <w:sz w:val="24"/>
          <w:b/>
        </w:rPr>
        <w:t xml:space="preserve">Depersonalization/derealization disorder</w:t>
      </w:r>
      <w:r>
        <w:rPr>
          <w:rFonts w:ascii="Arial" w:hAnsi="Arial"/>
          <w:sz w:val="24"/>
        </w:rPr>
        <w:t xml:space="preserve">: Feeling detached from self (</w:t>
      </w:r>
      <w:r>
        <w:rPr>
          <w:rFonts w:ascii="Arial" w:hAnsi="Arial"/>
          <w:sz w:val="24"/>
          <w:b/>
        </w:rPr>
        <w:t xml:space="preserve">depersonalization</w:t>
      </w:r>
      <w:r>
        <w:rPr>
          <w:rFonts w:ascii="Arial" w:hAnsi="Arial"/>
          <w:sz w:val="24"/>
        </w:rPr>
        <w:t xml:space="preserve">) or environment (</w:t>
      </w:r>
      <w:r>
        <w:rPr>
          <w:rFonts w:ascii="Arial" w:hAnsi="Arial"/>
          <w:sz w:val="24"/>
          <w:b/>
        </w:rPr>
        <w:t xml:space="preserve">derealization</w:t>
      </w:r>
      <w:r>
        <w:rPr>
          <w:rFonts w:ascii="Arial" w:hAnsi="Arial"/>
          <w:sz w:val="24"/>
        </w:rPr>
        <w:t xml:space="preserve">); defense mechanism against trauma.</w:t>
      </w:r>
    </w:p>
    <w:p>
      <w:pPr>
        <w:pStyle w:val="ListParagraph"/>
        <w:numPr>
          <w:ilvl w:val="1"/>
          <w:numId w:val="1"/>
        </w:numPr>
      </w:pPr>
      <w:r>
        <w:rPr>
          <w:rFonts w:ascii="Arial" w:hAnsi="Arial"/>
          <w:sz w:val="24"/>
          <w:b/>
        </w:rPr>
        <w:t xml:space="preserve">Dissociative amnesia</w:t>
      </w:r>
      <w:r>
        <w:rPr>
          <w:rFonts w:ascii="Arial" w:hAnsi="Arial"/>
          <w:sz w:val="24"/>
        </w:rPr>
        <w:t xml:space="preserve">: Inability to recall important personal information, often trauma-related; subtype </w:t>
      </w:r>
      <w:r>
        <w:rPr>
          <w:rFonts w:ascii="Arial" w:hAnsi="Arial"/>
          <w:sz w:val="24"/>
          <w:b/>
        </w:rPr>
        <w:t xml:space="preserve">fugue</w:t>
      </w:r>
      <w:r>
        <w:rPr>
          <w:rFonts w:ascii="Arial" w:hAnsi="Arial"/>
          <w:sz w:val="24"/>
        </w:rPr>
        <w:t xml:space="preserve"> involves sudden travel and identity loss; upon recovery, memory of fugue period is missing.</w:t>
      </w:r>
    </w:p>
    <w:p>
      <w:pPr>
        <w:pStyle w:val="ListParagraph"/>
        <w:numPr>
          <w:ilvl w:val="1"/>
          <w:numId w:val="1"/>
        </w:numPr>
      </w:pPr>
      <w:r>
        <w:rPr>
          <w:rFonts w:ascii="Arial" w:hAnsi="Arial"/>
          <w:sz w:val="24"/>
          <w:b/>
        </w:rPr>
        <w:t xml:space="preserve">Dissociative identity disorder (DID)</w:t>
      </w:r>
      <w:r>
        <w:rPr>
          <w:rFonts w:ascii="Arial" w:hAnsi="Arial"/>
          <w:sz w:val="24"/>
        </w:rPr>
        <w:t xml:space="preserve">: Two or more distinct identities or "alters"; gaps in memory; linked to </w:t>
      </w:r>
      <w:r>
        <w:rPr>
          <w:rFonts w:ascii="Arial" w:hAnsi="Arial"/>
          <w:sz w:val="24"/>
          <w:b/>
        </w:rPr>
        <w:t xml:space="preserve">severe childhood trauma</w:t>
      </w:r>
      <w:r>
        <w:rPr>
          <w:rFonts w:ascii="Arial" w:hAnsi="Arial"/>
          <w:sz w:val="24"/>
        </w:rPr>
        <w:t xml:space="preserve">; alters serve as protective mechanisms; examples in media: </w:t>
      </w:r>
      <w:r>
        <w:rPr>
          <w:rFonts w:ascii="Arial" w:hAnsi="Arial"/>
          <w:sz w:val="24"/>
          <w:i/>
        </w:rPr>
        <w:t xml:space="preserve">Split</w:t>
      </w:r>
      <w:r>
        <w:rPr>
          <w:rFonts w:ascii="Arial" w:hAnsi="Arial"/>
          <w:sz w:val="24"/>
        </w:rPr>
        <w:t xml:space="preserve">, </w:t>
      </w:r>
      <w:r>
        <w:rPr>
          <w:rFonts w:ascii="Arial" w:hAnsi="Arial"/>
          <w:sz w:val="24"/>
          <w:i/>
        </w:rPr>
        <w:t xml:space="preserve">Sybil</w:t>
      </w:r>
      <w:r>
        <w:rPr>
          <w:rFonts w:ascii="Arial" w:hAnsi="Arial"/>
          <w:sz w:val="24"/>
        </w:rPr>
        <w:t xml:space="preserve">, </w:t>
      </w:r>
      <w:r>
        <w:rPr>
          <w:rFonts w:ascii="Arial" w:hAnsi="Arial"/>
          <w:sz w:val="24"/>
          <w:i/>
        </w:rPr>
        <w:t xml:space="preserve">The Three Faces of Eve</w:t>
      </w:r>
      <w:r>
        <w:rPr>
          <w:rFonts w:ascii="Arial" w:hAnsi="Arial"/>
          <w:sz w:val="24"/>
        </w:rPr>
        <w:t xml:space="preserve">.</w:t>
      </w:r>
    </w:p>
    <w:p>
      <w:pPr>
        <w:pStyle w:val="ListParagraph"/>
        <w:numPr>
          <w:ilvl w:val="0"/>
          <w:numId w:val="1"/>
        </w:numPr>
      </w:pPr>
      <w:r>
        <w:rPr>
          <w:rFonts w:ascii="Arial" w:hAnsi="Arial"/>
          <w:sz w:val="24"/>
          <w:b/>
        </w:rPr>
        <w:t xml:space="preserve">Prevalence</w:t>
      </w:r>
      <w:r>
        <w:rPr>
          <w:rFonts w:ascii="Arial" w:hAnsi="Arial"/>
          <w:sz w:val="24"/>
        </w:rPr>
        <w:t xml:space="preserve">: Somatic disorders may affect </w:t>
      </w:r>
      <w:r>
        <w:rPr>
          <w:rFonts w:ascii="Arial" w:hAnsi="Arial"/>
          <w:sz w:val="24"/>
          <w:b/>
        </w:rPr>
        <w:t xml:space="preserve">4–6%</w:t>
      </w:r>
      <w:r>
        <w:rPr>
          <w:rFonts w:ascii="Arial" w:hAnsi="Arial"/>
          <w:sz w:val="24"/>
        </w:rPr>
        <w:t xml:space="preserve">; often underdiagnosed.</w:t>
      </w:r>
    </w:p>
    <w:p>
      <w:pPr>
        <w:pStyle w:val="ListParagraph"/>
        <w:numPr>
          <w:ilvl w:val="0"/>
          <w:numId w:val="1"/>
        </w:numPr>
      </w:pPr>
      <w:r>
        <w:rPr>
          <w:rFonts w:ascii="Arial" w:hAnsi="Arial"/>
          <w:sz w:val="24"/>
          <w:b/>
        </w:rPr>
        <w:t xml:space="preserve">Treatment</w:t>
      </w:r>
      <w:r>
        <w:rPr>
          <w:rFonts w:ascii="Arial" w:hAnsi="Arial"/>
          <w:sz w:val="24"/>
        </w:rPr>
        <w:t xml:space="preserve">:</w:t>
      </w:r>
    </w:p>
    <w:p>
      <w:pPr>
        <w:pStyle w:val="ListParagraph"/>
        <w:numPr>
          <w:ilvl w:val="1"/>
          <w:numId w:val="1"/>
        </w:numPr>
      </w:pPr>
      <w:r>
        <w:rPr>
          <w:rFonts w:ascii="Arial" w:hAnsi="Arial"/>
          <w:sz w:val="24"/>
        </w:rPr>
        <w:t xml:space="preserve">Primary: </w:t>
      </w:r>
      <w:r>
        <w:rPr>
          <w:rFonts w:ascii="Arial" w:hAnsi="Arial"/>
          <w:sz w:val="24"/>
          <w:b/>
        </w:rPr>
        <w:t xml:space="preserve">psychotherapy</w:t>
      </w:r>
      <w:r>
        <w:rPr>
          <w:rFonts w:ascii="Arial" w:hAnsi="Arial"/>
          <w:sz w:val="24"/>
        </w:rPr>
        <w:t xml:space="preserve"> (trauma processing, memory recovery, integration of alters).</w:t>
      </w:r>
    </w:p>
    <w:p>
      <w:pPr>
        <w:pStyle w:val="ListParagraph"/>
        <w:numPr>
          <w:ilvl w:val="1"/>
          <w:numId w:val="1"/>
        </w:numPr>
      </w:pPr>
      <w:r>
        <w:rPr>
          <w:rFonts w:ascii="Arial" w:hAnsi="Arial"/>
          <w:sz w:val="24"/>
        </w:rPr>
        <w:t xml:space="preserve">Medications: SSRIs, anxiolytics for comorbid symptoms (e.g., anxiety, depression, PTSD).</w:t>
      </w:r>
    </w:p>
    <w:p>
      <w:pPr>
        <w:pStyle w:val="ListParagraph"/>
        <w:numPr>
          <w:ilvl w:val="1"/>
          <w:numId w:val="1"/>
        </w:numPr>
      </w:pPr>
      <w:r>
        <w:rPr>
          <w:rFonts w:ascii="Arial" w:hAnsi="Arial"/>
          <w:sz w:val="24"/>
          <w:b/>
        </w:rPr>
        <w:t xml:space="preserve">Factitious disorder</w:t>
      </w:r>
      <w:r>
        <w:rPr>
          <w:rFonts w:ascii="Arial" w:hAnsi="Arial"/>
          <w:sz w:val="24"/>
        </w:rPr>
        <w:t xml:space="preserve">: Focus on safety and psychological needs; high risk of aggression if confronted.</w:t>
      </w:r>
    </w:p>
    <w:p>
      <w:pPr>
        <w:pStyle w:val="ListParagraph"/>
        <w:numPr>
          <w:ilvl w:val="0"/>
          <w:numId w:val="1"/>
        </w:numPr>
      </w:pPr>
      <w:r>
        <w:rPr>
          <w:rFonts w:ascii="Arial" w:hAnsi="Arial"/>
          <w:sz w:val="24"/>
          <w:b/>
        </w:rPr>
        <w:t xml:space="preserve">Nursing interventions</w:t>
      </w:r>
      <w:r>
        <w:rPr>
          <w:rFonts w:ascii="Arial" w:hAnsi="Arial"/>
          <w:sz w:val="24"/>
        </w:rPr>
        <w:t xml:space="preserve">:</w:t>
      </w:r>
    </w:p>
    <w:p>
      <w:pPr>
        <w:pStyle w:val="ListParagraph"/>
        <w:numPr>
          <w:ilvl w:val="1"/>
          <w:numId w:val="1"/>
        </w:numPr>
      </w:pPr>
      <w:r>
        <w:rPr>
          <w:rFonts w:ascii="Arial" w:hAnsi="Arial"/>
          <w:sz w:val="24"/>
        </w:rPr>
        <w:t xml:space="preserve">Therapeutic communication: avoid invalidating language.</w:t>
      </w:r>
    </w:p>
    <w:p>
      <w:pPr>
        <w:pStyle w:val="ListParagraph"/>
        <w:numPr>
          <w:ilvl w:val="1"/>
          <w:numId w:val="1"/>
        </w:numPr>
      </w:pPr>
      <w:r>
        <w:rPr>
          <w:rFonts w:ascii="Arial" w:hAnsi="Arial"/>
          <w:sz w:val="24"/>
        </w:rPr>
        <w:t xml:space="preserve">Promote healthy lifestyle.</w:t>
      </w:r>
    </w:p>
    <w:p>
      <w:pPr>
        <w:pStyle w:val="ListParagraph"/>
        <w:numPr>
          <w:ilvl w:val="1"/>
          <w:numId w:val="1"/>
        </w:numPr>
      </w:pPr>
      <w:r>
        <w:rPr>
          <w:rFonts w:ascii="Arial" w:hAnsi="Arial"/>
          <w:sz w:val="24"/>
        </w:rPr>
        <w:t xml:space="preserve">Create trauma-informed, safe environment.</w:t>
      </w:r>
    </w:p>
    <w:p>
      <w:pPr>
        <w:pStyle w:val="ListParagraph"/>
        <w:numPr>
          <w:ilvl w:val="1"/>
          <w:numId w:val="1"/>
        </w:numPr>
      </w:pPr>
      <w:r>
        <w:rPr>
          <w:rFonts w:ascii="Arial" w:hAnsi="Arial"/>
          <w:sz w:val="24"/>
        </w:rPr>
        <w:t xml:space="preserve">During dissociative episodes: simplify routines, use one-on-one observation, help process confusion.</w:t>
      </w:r>
    </w:p>
    <w:p>
      <w:pPr>
        <w:pStyle w:val="ListParagraph"/>
        <w:numPr>
          <w:ilvl w:val="1"/>
          <w:numId w:val="1"/>
        </w:numPr>
      </w:pPr>
      <w:r>
        <w:rPr>
          <w:rFonts w:ascii="Arial" w:hAnsi="Arial"/>
          <w:sz w:val="24"/>
        </w:rPr>
        <w:t xml:space="preserve">Reduce anxiety to minimize dissociation.</w:t>
      </w:r>
    </w:p>
    <w:p>
      <w:pPr>
        <w:pStyle w:val="ListParagraph"/>
        <w:numPr>
          <w:ilvl w:val="0"/>
          <w:numId w:val="1"/>
        </w:numPr>
      </w:pPr>
      <w:r>
        <w:rPr>
          <w:rFonts w:ascii="Arial" w:hAnsi="Arial"/>
          <w:sz w:val="24"/>
          <w:b/>
        </w:rPr>
        <w:t xml:space="preserve">Assessment</w:t>
      </w:r>
      <w:r>
        <w:rPr>
          <w:rFonts w:ascii="Arial" w:hAnsi="Arial"/>
          <w:sz w:val="24"/>
        </w:rPr>
        <w:t xml:space="preserve">: Screen for suicide risk, memory gaps, personality changes, and presence of alters.</w:t>
      </w:r>
    </w:p>
    <w:p>
      <w:pPr>
        <w:spacing w:after="200"/>
      </w:pPr>
      <w:r>
        <w:rPr>
          <w:rFonts w:ascii="Arial" w:hAnsi="Arial"/>
          <w:sz w:val="28"/>
          <w:b/>
        </w:rPr>
        <w:t xml:space="preserve">Personality Disorders: Clusters A, B, and C with Nursing Implications</w:t>
      </w:r>
    </w:p>
    <w:p>
      <w:pPr>
        <w:pStyle w:val="ListParagraph"/>
        <w:numPr>
          <w:ilvl w:val="0"/>
          <w:numId w:val="1"/>
        </w:numPr>
      </w:pPr>
      <w:r>
        <w:rPr>
          <w:rFonts w:ascii="Arial" w:hAnsi="Arial"/>
          <w:sz w:val="24"/>
          <w:b/>
        </w:rPr>
        <w:t xml:space="preserve">Definition</w:t>
      </w:r>
      <w:r>
        <w:rPr>
          <w:rFonts w:ascii="Arial" w:hAnsi="Arial"/>
          <w:sz w:val="24"/>
        </w:rPr>
        <w:t xml:space="preserve">: Pervasive, long-standing patterns of behavior, cognition, and inner experience that deviate from cultural norms; cause distress or impairment; diagnosed in adulthood.</w:t>
      </w:r>
    </w:p>
    <w:p>
      <w:pPr>
        <w:pStyle w:val="ListParagraph"/>
        <w:numPr>
          <w:ilvl w:val="0"/>
          <w:numId w:val="1"/>
        </w:numPr>
      </w:pPr>
      <w:r>
        <w:rPr>
          <w:rFonts w:ascii="Arial" w:hAnsi="Arial"/>
          <w:sz w:val="24"/>
          <w:b/>
        </w:rPr>
        <w:t xml:space="preserve">Etiology</w:t>
      </w:r>
      <w:r>
        <w:rPr>
          <w:rFonts w:ascii="Arial" w:hAnsi="Arial"/>
          <w:sz w:val="24"/>
        </w:rPr>
        <w:t xml:space="preserve">: Diathesis-stress model (genetic + environmental); early psychosocial development failures may contribute.</w:t>
      </w:r>
    </w:p>
    <w:p>
      <w:pPr>
        <w:pStyle w:val="ListParagraph"/>
        <w:numPr>
          <w:ilvl w:val="0"/>
          <w:numId w:val="1"/>
        </w:numPr>
      </w:pPr>
      <w:r>
        <w:rPr>
          <w:rFonts w:ascii="Arial" w:hAnsi="Arial"/>
          <w:sz w:val="24"/>
          <w:b/>
        </w:rPr>
        <w:t xml:space="preserve">Clusters</w:t>
      </w:r>
      <w:r>
        <w:rPr>
          <w:rFonts w:ascii="Arial" w:hAnsi="Arial"/>
          <w:sz w:val="24"/>
        </w:rPr>
        <w:t xml:space="preserve">:</w:t>
      </w:r>
    </w:p>
    <w:p>
      <w:pPr>
        <w:pStyle w:val="ListParagraph"/>
        <w:numPr>
          <w:ilvl w:val="1"/>
          <w:numId w:val="1"/>
        </w:numPr>
      </w:pPr>
      <w:r>
        <w:rPr>
          <w:rFonts w:ascii="Arial" w:hAnsi="Arial"/>
          <w:sz w:val="24"/>
          <w:b/>
        </w:rPr>
        <w:t xml:space="preserve">Cluster A (Odd/Eccentric)</w:t>
      </w:r>
      <w:r>
        <w:rPr>
          <w:rFonts w:ascii="Arial" w:hAnsi="Arial"/>
          <w:sz w:val="24"/>
        </w:rPr>
        <w:t xml:space="preserve">: Paranoid (distrustful), schizoid (detached), schizotypal (eccentric, magical thinking).</w:t>
      </w:r>
    </w:p>
    <w:p>
      <w:pPr>
        <w:pStyle w:val="ListParagraph"/>
        <w:numPr>
          <w:ilvl w:val="1"/>
          <w:numId w:val="1"/>
        </w:numPr>
      </w:pPr>
      <w:r>
        <w:rPr>
          <w:rFonts w:ascii="Arial" w:hAnsi="Arial"/>
          <w:sz w:val="24"/>
          <w:b/>
        </w:rPr>
        <w:t xml:space="preserve">Cluster B (Dramatic/Emotional)</w:t>
      </w:r>
      <w:r>
        <w:rPr>
          <w:rFonts w:ascii="Arial" w:hAnsi="Arial"/>
          <w:sz w:val="24"/>
        </w:rPr>
        <w:t xml:space="preserve">: Antisocial (disregard for others), borderline (emotional instability, fear of abandonment), histrionic (attention-seeking), narcissistic (grandiosity, lack of empathy).</w:t>
      </w:r>
    </w:p>
    <w:p>
      <w:pPr>
        <w:pStyle w:val="ListParagraph"/>
        <w:numPr>
          <w:ilvl w:val="1"/>
          <w:numId w:val="1"/>
        </w:numPr>
      </w:pPr>
      <w:r>
        <w:rPr>
          <w:rFonts w:ascii="Arial" w:hAnsi="Arial"/>
          <w:sz w:val="24"/>
          <w:b/>
        </w:rPr>
        <w:t xml:space="preserve">Cluster C (Anxious/Fearful)</w:t>
      </w:r>
      <w:r>
        <w:rPr>
          <w:rFonts w:ascii="Arial" w:hAnsi="Arial"/>
          <w:sz w:val="24"/>
        </w:rPr>
        <w:t xml:space="preserve">: Avoidant (social inhibition), dependent (submissive), obsessive-compulsive personality disorder (OCPD) (perfectionism, control).</w:t>
      </w:r>
    </w:p>
    <w:p>
      <w:pPr>
        <w:pStyle w:val="ListParagraph"/>
        <w:numPr>
          <w:ilvl w:val="0"/>
          <w:numId w:val="1"/>
        </w:numPr>
      </w:pPr>
      <w:r>
        <w:rPr>
          <w:rFonts w:ascii="Arial" w:hAnsi="Arial"/>
          <w:sz w:val="24"/>
          <w:b/>
        </w:rPr>
        <w:t xml:space="preserve">Comorbidities</w:t>
      </w:r>
      <w:r>
        <w:rPr>
          <w:rFonts w:ascii="Arial" w:hAnsi="Arial"/>
          <w:sz w:val="24"/>
        </w:rPr>
        <w:t xml:space="preserve">: Anxiety, depression, substance use; Cluster A with PTSD/schizophrenia; Cluster C with social phobia/anorexia; Cluster B with anxiety.</w:t>
      </w:r>
    </w:p>
    <w:p>
      <w:pPr>
        <w:pStyle w:val="ListParagraph"/>
        <w:numPr>
          <w:ilvl w:val="0"/>
          <w:numId w:val="1"/>
        </w:numPr>
      </w:pPr>
      <w:r>
        <w:rPr>
          <w:rFonts w:ascii="Arial" w:hAnsi="Arial"/>
          <w:sz w:val="24"/>
          <w:b/>
        </w:rPr>
        <w:t xml:space="preserve">Clinical challenges</w:t>
      </w:r>
      <w:r>
        <w:rPr>
          <w:rFonts w:ascii="Arial" w:hAnsi="Arial"/>
          <w:sz w:val="24"/>
        </w:rPr>
        <w:t xml:space="preserve">: Interpersonal difficulties, occupational impairment, high suicide risk.</w:t>
      </w:r>
    </w:p>
    <w:p>
      <w:pPr>
        <w:pStyle w:val="ListParagraph"/>
        <w:numPr>
          <w:ilvl w:val="0"/>
          <w:numId w:val="1"/>
        </w:numPr>
      </w:pPr>
      <w:r>
        <w:rPr>
          <w:rFonts w:ascii="Arial" w:hAnsi="Arial"/>
          <w:sz w:val="24"/>
          <w:b/>
        </w:rPr>
        <w:t xml:space="preserve">Therapeutic relationship</w:t>
      </w:r>
      <w:r>
        <w:rPr>
          <w:rFonts w:ascii="Arial" w:hAnsi="Arial"/>
          <w:sz w:val="24"/>
        </w:rPr>
        <w:t xml:space="preserve">: Requires consistency, safety, and strong boundaries; countertransference risks with Cluster B.</w:t>
      </w:r>
    </w:p>
    <w:p>
      <w:pPr>
        <w:pStyle w:val="ListParagraph"/>
        <w:numPr>
          <w:ilvl w:val="0"/>
          <w:numId w:val="1"/>
        </w:numPr>
      </w:pPr>
      <w:r>
        <w:rPr>
          <w:rFonts w:ascii="Arial" w:hAnsi="Arial"/>
          <w:sz w:val="24"/>
          <w:b/>
        </w:rPr>
        <w:t xml:space="preserve">Review quiz</w:t>
      </w:r>
      <w:r>
        <w:rPr>
          <w:rFonts w:ascii="Arial" w:hAnsi="Arial"/>
          <w:sz w:val="24"/>
        </w:rPr>
        <w:t xml:space="preserve">: Reinforced recognition of traits (e.g., antisocial = criminality; borderline = self-harm; histrionic = drama).</w:t>
      </w:r>
    </w:p>
    <w:p>
      <w:pPr>
        <w:spacing w:after="200"/>
      </w:pPr>
      <w:r>
        <w:rPr>
          <w:rFonts w:ascii="Arial" w:hAnsi="Arial"/>
          <w:sz w:val="28"/>
          <w:b/>
        </w:rPr>
        <w:t xml:space="preserve">Clinical Care and Pharmacology in Personality Disorders: Final Review</w:t>
      </w:r>
    </w:p>
    <w:p>
      <w:pPr>
        <w:pStyle w:val="ListParagraph"/>
        <w:numPr>
          <w:ilvl w:val="0"/>
          <w:numId w:val="1"/>
        </w:numPr>
      </w:pPr>
      <w:r>
        <w:rPr>
          <w:rFonts w:ascii="Arial" w:hAnsi="Arial"/>
          <w:sz w:val="24"/>
          <w:b/>
        </w:rPr>
        <w:t xml:space="preserve">Clinical considerations</w:t>
      </w:r>
      <w:r>
        <w:rPr>
          <w:rFonts w:ascii="Arial" w:hAnsi="Arial"/>
          <w:sz w:val="24"/>
        </w:rPr>
        <w:t xml:space="preserve">:</w:t>
      </w:r>
    </w:p>
    <w:p>
      <w:pPr>
        <w:pStyle w:val="ListParagraph"/>
        <w:numPr>
          <w:ilvl w:val="1"/>
          <w:numId w:val="1"/>
        </w:numPr>
      </w:pPr>
      <w:r>
        <w:rPr>
          <w:rFonts w:ascii="Arial" w:hAnsi="Arial"/>
          <w:sz w:val="24"/>
          <w:b/>
        </w:rPr>
        <w:t xml:space="preserve">BPD and distress tolerance</w:t>
      </w:r>
      <w:r>
        <w:rPr>
          <w:rFonts w:ascii="Arial" w:hAnsi="Arial"/>
          <w:sz w:val="24"/>
        </w:rPr>
        <w:t xml:space="preserve">: Minor stressors (e.g., failed phone call) can trigger self-harm.</w:t>
      </w:r>
    </w:p>
    <w:p>
      <w:pPr>
        <w:pStyle w:val="ListParagraph"/>
        <w:numPr>
          <w:ilvl w:val="1"/>
          <w:numId w:val="1"/>
        </w:numPr>
      </w:pPr>
      <w:r>
        <w:rPr>
          <w:rFonts w:ascii="Arial" w:hAnsi="Arial"/>
          <w:sz w:val="24"/>
          <w:b/>
        </w:rPr>
        <w:t xml:space="preserve">Safety</w:t>
      </w:r>
      <w:r>
        <w:rPr>
          <w:rFonts w:ascii="Arial" w:hAnsi="Arial"/>
          <w:sz w:val="24"/>
        </w:rPr>
        <w:t xml:space="preserve">: Nurses must monitor for impulsive/aggressive behaviors even in non-psychiatric units.</w:t>
      </w:r>
    </w:p>
    <w:p>
      <w:pPr>
        <w:pStyle w:val="ListParagraph"/>
        <w:numPr>
          <w:ilvl w:val="0"/>
          <w:numId w:val="1"/>
        </w:numPr>
      </w:pPr>
      <w:r>
        <w:rPr>
          <w:rFonts w:ascii="Arial" w:hAnsi="Arial"/>
          <w:sz w:val="24"/>
          <w:b/>
        </w:rPr>
        <w:t xml:space="preserve">Nursing approaches by cluster</w:t>
      </w:r>
      <w:r>
        <w:rPr>
          <w:rFonts w:ascii="Arial" w:hAnsi="Arial"/>
          <w:sz w:val="24"/>
        </w:rPr>
        <w:t xml:space="preserve">:</w:t>
      </w:r>
    </w:p>
    <w:p>
      <w:pPr>
        <w:pStyle w:val="ListParagraph"/>
        <w:numPr>
          <w:ilvl w:val="1"/>
          <w:numId w:val="1"/>
        </w:numPr>
      </w:pPr>
      <w:r>
        <w:rPr>
          <w:rFonts w:ascii="Arial" w:hAnsi="Arial"/>
          <w:sz w:val="24"/>
          <w:b/>
        </w:rPr>
        <w:t xml:space="preserve">Cluster A</w:t>
      </w:r>
      <w:r>
        <w:rPr>
          <w:rFonts w:ascii="Arial" w:hAnsi="Arial"/>
          <w:sz w:val="24"/>
        </w:rPr>
        <w:t xml:space="preserve">: Focus on building therapeutic relationships; patients often isolated.</w:t>
      </w:r>
    </w:p>
    <w:p>
      <w:pPr>
        <w:pStyle w:val="ListParagraph"/>
        <w:numPr>
          <w:ilvl w:val="1"/>
          <w:numId w:val="1"/>
        </w:numPr>
      </w:pPr>
      <w:r>
        <w:rPr>
          <w:rFonts w:ascii="Arial" w:hAnsi="Arial"/>
          <w:sz w:val="24"/>
          <w:b/>
        </w:rPr>
        <w:t xml:space="preserve">Cluster B</w:t>
      </w:r>
      <w:r>
        <w:rPr>
          <w:rFonts w:ascii="Arial" w:hAnsi="Arial"/>
          <w:sz w:val="24"/>
        </w:rPr>
        <w:t xml:space="preserve">: Set </w:t>
      </w:r>
      <w:r>
        <w:rPr>
          <w:rFonts w:ascii="Arial" w:hAnsi="Arial"/>
          <w:sz w:val="24"/>
          <w:b/>
        </w:rPr>
        <w:t xml:space="preserve">clear, consistent boundaries</w:t>
      </w:r>
      <w:r>
        <w:rPr>
          <w:rFonts w:ascii="Arial" w:hAnsi="Arial"/>
          <w:sz w:val="24"/>
        </w:rPr>
        <w:t xml:space="preserve">; avoid power struggles; teach coping skills.</w:t>
      </w:r>
    </w:p>
    <w:p>
      <w:pPr>
        <w:pStyle w:val="ListParagraph"/>
        <w:numPr>
          <w:ilvl w:val="1"/>
          <w:numId w:val="1"/>
        </w:numPr>
      </w:pPr>
      <w:r>
        <w:rPr>
          <w:rFonts w:ascii="Arial" w:hAnsi="Arial"/>
          <w:sz w:val="24"/>
          <w:b/>
        </w:rPr>
        <w:t xml:space="preserve">Cluster C</w:t>
      </w:r>
      <w:r>
        <w:rPr>
          <w:rFonts w:ascii="Arial" w:hAnsi="Arial"/>
          <w:sz w:val="24"/>
        </w:rPr>
        <w:t xml:space="preserve">: Reduce anxiety; approach avoidant patients with patience.</w:t>
      </w:r>
    </w:p>
    <w:p>
      <w:pPr>
        <w:pStyle w:val="ListParagraph"/>
        <w:numPr>
          <w:ilvl w:val="0"/>
          <w:numId w:val="1"/>
        </w:numPr>
      </w:pPr>
      <w:r>
        <w:rPr>
          <w:rFonts w:ascii="Arial" w:hAnsi="Arial"/>
          <w:sz w:val="24"/>
          <w:b/>
        </w:rPr>
        <w:t xml:space="preserve">Documentation</w:t>
      </w:r>
      <w:r>
        <w:rPr>
          <w:rFonts w:ascii="Arial" w:hAnsi="Arial"/>
          <w:sz w:val="24"/>
        </w:rPr>
        <w:t xml:space="preserve">: Include direct quotes; accurate records essential.</w:t>
      </w:r>
    </w:p>
    <w:p>
      <w:pPr>
        <w:pStyle w:val="ListParagraph"/>
        <w:numPr>
          <w:ilvl w:val="1"/>
          <w:numId w:val="1"/>
        </w:numPr>
      </w:pPr>
      <w:r>
        <w:rPr>
          <w:rFonts w:ascii="Arial" w:hAnsi="Arial"/>
          <w:sz w:val="24"/>
        </w:rPr>
        <w:t xml:space="preserve">Personality disorders rarely sole reason for admission; often co-occur with mood disorders or suicidality.</w:t>
      </w:r>
    </w:p>
    <w:p>
      <w:pPr>
        <w:pStyle w:val="ListParagraph"/>
        <w:numPr>
          <w:ilvl w:val="1"/>
          <w:numId w:val="1"/>
        </w:numPr>
      </w:pPr>
      <w:r>
        <w:rPr>
          <w:rFonts w:ascii="Arial" w:hAnsi="Arial"/>
          <w:sz w:val="24"/>
        </w:rPr>
        <w:t xml:space="preserve">Recovery is lifelong; no quick fixes.</w:t>
      </w:r>
    </w:p>
    <w:p>
      <w:pPr>
        <w:pStyle w:val="ListParagraph"/>
        <w:numPr>
          <w:ilvl w:val="0"/>
          <w:numId w:val="1"/>
        </w:numPr>
      </w:pPr>
      <w:r>
        <w:rPr>
          <w:rFonts w:ascii="Arial" w:hAnsi="Arial"/>
          <w:sz w:val="24"/>
          <w:b/>
        </w:rPr>
        <w:t xml:space="preserve">Pharmacological management</w:t>
      </w:r>
      <w:r>
        <w:rPr>
          <w:rFonts w:ascii="Arial" w:hAnsi="Arial"/>
          <w:sz w:val="24"/>
        </w:rPr>
        <w:t xml:space="preserve">:</w:t>
      </w:r>
    </w:p>
    <w:p>
      <w:pPr>
        <w:pStyle w:val="ListParagraph"/>
        <w:numPr>
          <w:ilvl w:val="1"/>
          <w:numId w:val="1"/>
        </w:numPr>
      </w:pPr>
      <w:r>
        <w:rPr>
          <w:rFonts w:ascii="Arial" w:hAnsi="Arial"/>
          <w:sz w:val="24"/>
          <w:b/>
        </w:rPr>
        <w:t xml:space="preserve">No FDA-approved medications</w:t>
      </w:r>
      <w:r>
        <w:rPr>
          <w:rFonts w:ascii="Arial" w:hAnsi="Arial"/>
          <w:sz w:val="24"/>
        </w:rPr>
        <w:t xml:space="preserve"> for personality disorders.</w:t>
      </w:r>
    </w:p>
    <w:p>
      <w:pPr>
        <w:pStyle w:val="ListParagraph"/>
        <w:numPr>
          <w:ilvl w:val="1"/>
          <w:numId w:val="1"/>
        </w:numPr>
      </w:pPr>
      <w:r>
        <w:rPr>
          <w:rFonts w:ascii="Arial" w:hAnsi="Arial"/>
          <w:sz w:val="24"/>
        </w:rPr>
        <w:t xml:space="preserve">Medications used </w:t>
      </w:r>
      <w:r>
        <w:rPr>
          <w:rFonts w:ascii="Arial" w:hAnsi="Arial"/>
          <w:sz w:val="24"/>
          <w:b/>
        </w:rPr>
        <w:t xml:space="preserve">symptomatically</w:t>
      </w:r>
      <w:r>
        <w:rPr>
          <w:rFonts w:ascii="Arial" w:hAnsi="Arial"/>
          <w:sz w:val="24"/>
        </w:rPr>
        <w:t xml:space="preserve">:</w:t>
      </w:r>
    </w:p>
    <w:p>
      <w:pPr>
        <w:pStyle w:val="ListParagraph"/>
        <w:numPr>
          <w:ilvl w:val="2"/>
          <w:numId w:val="1"/>
        </w:numPr>
      </w:pPr>
      <w:r>
        <w:rPr>
          <w:rFonts w:ascii="Arial" w:hAnsi="Arial"/>
          <w:sz w:val="24"/>
        </w:rPr>
        <w:t xml:space="preserve">Anxiolytics/antidepressants for anxiety/depression.</w:t>
      </w:r>
    </w:p>
    <w:p>
      <w:pPr>
        <w:pStyle w:val="ListParagraph"/>
        <w:numPr>
          <w:ilvl w:val="2"/>
          <w:numId w:val="1"/>
        </w:numPr>
      </w:pPr>
      <w:r>
        <w:rPr>
          <w:rFonts w:ascii="Arial" w:hAnsi="Arial"/>
          <w:sz w:val="24"/>
        </w:rPr>
        <w:t xml:space="preserve">Mood stabilizers for mood swings.</w:t>
      </w:r>
    </w:p>
    <w:p>
      <w:pPr>
        <w:pStyle w:val="ListParagraph"/>
        <w:numPr>
          <w:ilvl w:val="2"/>
          <w:numId w:val="1"/>
        </w:numPr>
      </w:pPr>
      <w:r>
        <w:rPr>
          <w:rFonts w:ascii="Arial" w:hAnsi="Arial"/>
          <w:sz w:val="24"/>
        </w:rPr>
        <w:t xml:space="preserve">Antipsychotics for stress-induced psychotic-like symptoms.</w:t>
      </w:r>
    </w:p>
    <w:p>
      <w:pPr>
        <w:pStyle w:val="ListParagraph"/>
        <w:numPr>
          <w:ilvl w:val="1"/>
          <w:numId w:val="1"/>
        </w:numPr>
      </w:pPr>
      <w:r>
        <w:rPr>
          <w:rFonts w:ascii="Arial" w:hAnsi="Arial"/>
          <w:sz w:val="24"/>
        </w:rPr>
        <w:t xml:space="preserve">Exam focus: General knowledge expected, except </w:t>
      </w:r>
      <w:r>
        <w:rPr>
          <w:rFonts w:ascii="Arial" w:hAnsi="Arial"/>
          <w:sz w:val="24"/>
          <w:b/>
        </w:rPr>
        <w:t xml:space="preserve">antipsychotics</w:t>
      </w:r>
      <w:r>
        <w:rPr>
          <w:rFonts w:ascii="Arial" w:hAnsi="Arial"/>
          <w:sz w:val="24"/>
        </w:rPr>
        <w:t xml:space="preserve">, which are tested in detail.</w:t>
      </w:r>
    </w:p>
    <w:p>
      <w:pPr>
        <w:pStyle w:val="ListParagraph"/>
        <w:numPr>
          <w:ilvl w:val="0"/>
          <w:numId w:val="1"/>
        </w:numPr>
      </w:pPr>
      <w:r>
        <w:rPr>
          <w:rFonts w:ascii="Arial" w:hAnsi="Arial"/>
          <w:sz w:val="24"/>
          <w:b/>
        </w:rPr>
        <w:t xml:space="preserve">Final notes</w:t>
      </w:r>
      <w:r>
        <w:rPr>
          <w:rFonts w:ascii="Arial" w:hAnsi="Arial"/>
          <w:sz w:val="24"/>
        </w:rPr>
        <w:t xml:space="preserve">: Use practice questions and adaptive quizzing for exam prep; open invitation for questions on mental health content.</w:t>
      </w:r>
    </w:p>
    <w:p/>
    <w:p>
      <w:pPr>
        <w:spacing w:after="200"/>
      </w:pPr>
      <w:r>
        <w:rPr>
          <w:rFonts w:ascii="Arial" w:hAnsi="Arial"/>
          <w:sz w:val="20"/>
          <w:color w:val="808080"/>
        </w:rPr>
        <w:t xml:space="preserve">Notes powered by </w:t>
      </w:r>
      <w:hyperlink r:id="rId1">
        <w:r>
          <w:rPr>
            <w:rFonts w:ascii="Arial" w:hAnsi="Arial"/>
            <w:sz w:val="20"/>
            <w:color w:val="0000FF"/>
            <w:u w:val="single"/>
          </w:rPr>
          <w:t xml:space="preserve">CraftNote</w:t>
        </w:r>
      </w:hyperlink>
    </w:p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•"/>
      <w:lvlJc w:val="left"/>
      <w:pPr>
        <w:ind w:left="1440" w:hanging="360"/>
      </w:pPr>
    </w:lvl>
    <w:lvl w:ilvl="2">
      <w:start w:val="1"/>
      <w:numFmt w:val="bullet"/>
      <w:lvlText w:val="•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</w:abstractNum>
  <w:num w:numId="1">
    <w:abstractNumId w:val="0"/>
  </w:num>
  <w:num w:numId="2">
    <w:abstractNumId w:val="1"/>
  </w:num>
</w:numbering>
</file>

<file path=word/_rels/document.xml.rels><?xml version="1.0" encoding="UTF-8" standalone="yes"?>
<Relationships xmlns="http://schemas.openxmlformats.org/package/2006/relationships">  <Relationship Id="rId1" Type="http://schemas.openxmlformats.org/officeDocument/2006/relationships/hyperlink" Target="https://craftnote.onelink.me/8FBW/vqlcrshm" TargetMode="External"/></Relationships>
</file>