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AE228" w14:textId="77777777" w:rsidR="00387E71" w:rsidRDefault="000822FD">
      <w:r>
        <w:t xml:space="preserve">Maths Watch meets both </w:t>
      </w:r>
      <w:r w:rsidR="00960B89">
        <w:t xml:space="preserve">Nielsen, J. (2020) </w:t>
      </w:r>
      <w:r>
        <w:t xml:space="preserve">and </w:t>
      </w:r>
      <w:r w:rsidR="0044478F">
        <w:t>Wong, E. (2018)</w:t>
      </w:r>
      <w:r>
        <w:t xml:space="preserve">. The site covers </w:t>
      </w:r>
      <w:r w:rsidR="00C018F0">
        <w:t xml:space="preserve">close </w:t>
      </w:r>
      <w:r w:rsidR="006E4B23">
        <w:t>to all</w:t>
      </w:r>
      <w:r>
        <w:t xml:space="preserve"> the points from </w:t>
      </w:r>
      <w:r w:rsidR="006E4B23">
        <w:t>both heuristics</w:t>
      </w:r>
      <w:r w:rsidR="00C018F0">
        <w:t xml:space="preserve">. The site remains consistent in all its colour schemes, fonts, text </w:t>
      </w:r>
      <w:r w:rsidR="006E4B23">
        <w:t>contrasts, navigation</w:t>
      </w:r>
      <w:r w:rsidR="00292238">
        <w:t xml:space="preserve"> – everything is normalised. </w:t>
      </w:r>
      <w:r w:rsidR="00CB5C35">
        <w:t xml:space="preserve"> The site provides adequate error prevention and produces error messages explaining what the user needs to do in order to rectify the mistake. </w:t>
      </w:r>
      <w:r w:rsidR="00C46D27">
        <w:t xml:space="preserve">When completing tasks and selecting different videos etc, the site has </w:t>
      </w:r>
      <w:r w:rsidR="00ED2F78">
        <w:t xml:space="preserve">back arrows that allow you to revert to the previous page/action without logging the user out. </w:t>
      </w:r>
      <w:r w:rsidR="00003420">
        <w:t xml:space="preserve">Due to the sites continuous </w:t>
      </w:r>
      <w:r w:rsidR="00EE1753">
        <w:t xml:space="preserve">progress monitoring the user does not have to work out at what point they finished off last time, the questions will appear </w:t>
      </w:r>
      <w:r w:rsidR="00FB04EB">
        <w:t>green if done and you are able to move to the next question – this reduces memory load.</w:t>
      </w:r>
    </w:p>
    <w:p w14:paraId="2F859E89" w14:textId="2504DC28" w:rsidR="000B1421" w:rsidRDefault="00CA4F0B">
      <w:r>
        <w:rPr>
          <w:noProof/>
        </w:rPr>
        <w:drawing>
          <wp:anchor distT="0" distB="0" distL="114300" distR="114300" simplePos="0" relativeHeight="251657216" behindDoc="0" locked="0" layoutInCell="1" allowOverlap="1" wp14:anchorId="0670F5AC" wp14:editId="2D77F92C">
            <wp:simplePos x="0" y="0"/>
            <wp:positionH relativeFrom="page">
              <wp:posOffset>5667375</wp:posOffset>
            </wp:positionH>
            <wp:positionV relativeFrom="paragraph">
              <wp:posOffset>13970</wp:posOffset>
            </wp:positionV>
            <wp:extent cx="1423670" cy="2540635"/>
            <wp:effectExtent l="38100" t="38100" r="100330" b="88265"/>
            <wp:wrapSquare wrapText="bothSides"/>
            <wp:docPr id="1" name="Picture 1" descr="Mathswatch - The Student R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hswatch - The Student Ro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7E71">
        <w:t xml:space="preserve">However, </w:t>
      </w:r>
      <w:r w:rsidR="00943680">
        <w:t>I don’t believe the site has shortcuts for more specialised users, I think it</w:t>
      </w:r>
      <w:r w:rsidR="000B1421">
        <w:t>’</w:t>
      </w:r>
      <w:r w:rsidR="00943680">
        <w:t xml:space="preserve">s just </w:t>
      </w:r>
      <w:r w:rsidR="000B1421">
        <w:t xml:space="preserve">1 type </w:t>
      </w:r>
      <w:r w:rsidR="00501C26">
        <w:t xml:space="preserve">of </w:t>
      </w:r>
      <w:r w:rsidR="00387E71">
        <w:t xml:space="preserve">  use suits all</w:t>
      </w:r>
      <w:r w:rsidR="000B1421">
        <w:t>. The site does not offer customisation either, but then again there isn’t a need due to its simplistic design already.</w:t>
      </w:r>
      <w:r w:rsidR="00456472">
        <w:t xml:space="preserve"> There can be times where the error messages displayed </w:t>
      </w:r>
      <w:r w:rsidR="00133B9F">
        <w:t xml:space="preserve">do not inform the user enough </w:t>
      </w:r>
      <w:r w:rsidR="00456472">
        <w:t xml:space="preserve">and you struggle to understand what is wrong with your answer. Sometimes you can get hints if you are well and truly stuck. </w:t>
      </w:r>
    </w:p>
    <w:p w14:paraId="261D4A3F" w14:textId="2E8CDC83" w:rsidR="007E2D68" w:rsidRDefault="007E2D68">
      <w:r>
        <w:t xml:space="preserve">The site is accessible and </w:t>
      </w:r>
      <w:r w:rsidR="00031C9A">
        <w:t>works just the same on mobile and tablet devices</w:t>
      </w:r>
      <w:r w:rsidR="00CA4F0B">
        <w:t>.</w:t>
      </w:r>
      <w:r w:rsidR="00CA4F0B" w:rsidRPr="00CA4F0B">
        <w:t xml:space="preserve"> </w:t>
      </w:r>
      <w:r w:rsidR="00CA4F0B">
        <w:t xml:space="preserve">This is </w:t>
      </w:r>
      <w:r w:rsidR="00B7257D">
        <w:t>convenient</w:t>
      </w:r>
      <w:r w:rsidR="00CA4F0B">
        <w:t xml:space="preserve"> as it </w:t>
      </w:r>
      <w:r w:rsidR="00B7257D">
        <w:t>expands its customer base and makes its accessible for all types of users.</w:t>
      </w:r>
    </w:p>
    <w:p w14:paraId="76941ACB" w14:textId="60E5A561" w:rsidR="00446BE3" w:rsidRDefault="00446BE3">
      <w:r>
        <w:t xml:space="preserve">The site </w:t>
      </w:r>
      <w:r w:rsidR="00A07DC9">
        <w:t xml:space="preserve">offers up to 1500 user accounts per bundle purchased for the use of their service, and the prices range from </w:t>
      </w:r>
      <w:r w:rsidR="00484C5E">
        <w:t>£100 all the way up to £</w:t>
      </w:r>
      <w:r w:rsidR="00AB2AB9">
        <w:t xml:space="preserve">500 per annum. </w:t>
      </w:r>
      <w:r w:rsidR="0071752C">
        <w:t xml:space="preserve">The site currently hosts over 2000 education centres worldwide and over 1.6 million total users. </w:t>
      </w:r>
      <w:r w:rsidR="00C406CC">
        <w:t>On an average day they have over 100, 000 users interacting with their services.</w:t>
      </w:r>
    </w:p>
    <w:p w14:paraId="65065307" w14:textId="77777777" w:rsidR="00C406CC" w:rsidRDefault="00C406CC"/>
    <w:p w14:paraId="411C53E2" w14:textId="77777777" w:rsidR="00AB2AB9" w:rsidRDefault="00AB2AB9"/>
    <w:p w14:paraId="0728F420" w14:textId="77777777" w:rsidR="000B1421" w:rsidRDefault="000B1421"/>
    <w:p w14:paraId="72C26D9D" w14:textId="27F42017" w:rsidR="00771069" w:rsidRDefault="00771069"/>
    <w:p w14:paraId="5B7FD62A" w14:textId="5247F1DB" w:rsidR="00771069" w:rsidRDefault="00771069"/>
    <w:p w14:paraId="2D164E47" w14:textId="4BC5CCF7" w:rsidR="00771069" w:rsidRDefault="00771069"/>
    <w:p w14:paraId="7E54EB08" w14:textId="1AC980CD" w:rsidR="00771069" w:rsidRDefault="00771069"/>
    <w:p w14:paraId="3F5F0BB8" w14:textId="3C51641E" w:rsidR="00771069" w:rsidRDefault="00771069"/>
    <w:p w14:paraId="197A9750" w14:textId="0F0B8553" w:rsidR="00771069" w:rsidRDefault="00771069"/>
    <w:p w14:paraId="4806698A" w14:textId="390BA94D" w:rsidR="00771069" w:rsidRDefault="00771069"/>
    <w:p w14:paraId="0F6AC478" w14:textId="0DFFECBD" w:rsidR="00771069" w:rsidRDefault="00771069"/>
    <w:p w14:paraId="2E29CA87" w14:textId="144B7BE8" w:rsidR="00771069" w:rsidRDefault="00771069"/>
    <w:p w14:paraId="2EDD251C" w14:textId="74E574FE" w:rsidR="00771069" w:rsidRDefault="00771069"/>
    <w:p w14:paraId="21C61B9A" w14:textId="481DA901" w:rsidR="00771069" w:rsidRDefault="00771069"/>
    <w:p w14:paraId="34E95ED6" w14:textId="77E7F88D" w:rsidR="00771069" w:rsidRDefault="00771069"/>
    <w:p w14:paraId="19373E00" w14:textId="77523461" w:rsidR="00771069" w:rsidRDefault="00771069"/>
    <w:p w14:paraId="73719B51" w14:textId="6860673D" w:rsidR="00771069" w:rsidRDefault="00771069"/>
    <w:p w14:paraId="55656FE4" w14:textId="0E0DA279" w:rsidR="00771069" w:rsidRDefault="007710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9"/>
        <w:gridCol w:w="4097"/>
      </w:tblGrid>
      <w:tr w:rsidR="00C433E2" w14:paraId="33E7166F" w14:textId="77777777" w:rsidTr="00C433E2">
        <w:tc>
          <w:tcPr>
            <w:tcW w:w="4508" w:type="dxa"/>
          </w:tcPr>
          <w:p w14:paraId="0B6DD73F" w14:textId="0C5A2C10" w:rsidR="00C433E2" w:rsidRPr="00C433E2" w:rsidRDefault="00C433E2">
            <w:pPr>
              <w:rPr>
                <w:b/>
                <w:bCs/>
                <w:sz w:val="32"/>
                <w:szCs w:val="32"/>
              </w:rPr>
            </w:pPr>
            <w:r w:rsidRPr="00C433E2">
              <w:rPr>
                <w:b/>
                <w:bCs/>
                <w:sz w:val="32"/>
                <w:szCs w:val="32"/>
              </w:rPr>
              <w:t xml:space="preserve">Name of Reference </w:t>
            </w:r>
          </w:p>
        </w:tc>
        <w:tc>
          <w:tcPr>
            <w:tcW w:w="4508" w:type="dxa"/>
          </w:tcPr>
          <w:p w14:paraId="0FE734F3" w14:textId="37527BC0" w:rsidR="00C433E2" w:rsidRPr="00C433E2" w:rsidRDefault="00C433E2">
            <w:pPr>
              <w:rPr>
                <w:b/>
                <w:bCs/>
                <w:sz w:val="32"/>
                <w:szCs w:val="32"/>
              </w:rPr>
            </w:pPr>
            <w:r w:rsidRPr="00C433E2">
              <w:rPr>
                <w:b/>
                <w:bCs/>
                <w:sz w:val="32"/>
                <w:szCs w:val="32"/>
              </w:rPr>
              <w:t xml:space="preserve">Information </w:t>
            </w:r>
          </w:p>
        </w:tc>
      </w:tr>
      <w:tr w:rsidR="00C433E2" w14:paraId="5F688455" w14:textId="77777777" w:rsidTr="00C433E2">
        <w:tc>
          <w:tcPr>
            <w:tcW w:w="4508" w:type="dxa"/>
          </w:tcPr>
          <w:p w14:paraId="43547717" w14:textId="58E924B4" w:rsidR="00C433E2" w:rsidRPr="00C433E2" w:rsidRDefault="00C433E2">
            <w:pPr>
              <w:rPr>
                <w:highlight w:val="yellow"/>
              </w:rPr>
            </w:pPr>
            <w:r w:rsidRPr="00C433E2">
              <w:rPr>
                <w:rFonts w:ascii="Calibri" w:hAnsi="Calibri" w:cs="Calibri"/>
                <w:color w:val="000000" w:themeColor="text1"/>
                <w:sz w:val="27"/>
                <w:szCs w:val="27"/>
                <w:shd w:val="clear" w:color="auto" w:fill="FEF1C4"/>
              </w:rPr>
              <w:t xml:space="preserve">Nielsen, J. (2020). 10 Heuristics for User Interface Design. [online] Nielsen Norman Group. Available at: </w:t>
            </w:r>
            <w:hyperlink r:id="rId8" w:history="1">
              <w:r w:rsidRPr="006E38F1">
                <w:rPr>
                  <w:rStyle w:val="Hyperlink"/>
                  <w:rFonts w:ascii="Calibri" w:hAnsi="Calibri" w:cs="Calibri"/>
                  <w:sz w:val="27"/>
                  <w:szCs w:val="27"/>
                  <w:shd w:val="clear" w:color="auto" w:fill="FEF1C4"/>
                </w:rPr>
                <w:t>https://www.nngroup.com/articles/ten-usability-heuristics/</w:t>
              </w:r>
            </w:hyperlink>
            <w:r w:rsidRPr="00C433E2">
              <w:rPr>
                <w:rFonts w:ascii="Calibri" w:hAnsi="Calibri" w:cs="Calibri"/>
                <w:color w:val="000000" w:themeColor="text1"/>
                <w:sz w:val="27"/>
                <w:szCs w:val="27"/>
                <w:shd w:val="clear" w:color="auto" w:fill="FEF1C4"/>
              </w:rPr>
              <w:t>.</w:t>
            </w:r>
          </w:p>
        </w:tc>
        <w:tc>
          <w:tcPr>
            <w:tcW w:w="4508" w:type="dxa"/>
          </w:tcPr>
          <w:p w14:paraId="6BB824D8" w14:textId="34A7FF84" w:rsidR="00C433E2" w:rsidRDefault="00C433E2" w:rsidP="00C433E2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color w:val="333333"/>
                <w:sz w:val="27"/>
                <w:szCs w:val="27"/>
                <w:lang w:eastAsia="en-GB"/>
              </w:rPr>
            </w:pPr>
            <w:r w:rsidRPr="00C433E2">
              <w:rPr>
                <w:rFonts w:ascii="Arial" w:eastAsia="Times New Roman" w:hAnsi="Arial" w:cs="Arial"/>
                <w:color w:val="333333"/>
                <w:sz w:val="27"/>
                <w:szCs w:val="27"/>
                <w:lang w:eastAsia="en-GB"/>
              </w:rPr>
              <w:t>Visibility of system status</w:t>
            </w:r>
          </w:p>
          <w:p w14:paraId="2C024B03" w14:textId="436A7053" w:rsidR="00C433E2" w:rsidRDefault="00C433E2" w:rsidP="00C433E2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color w:val="333333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sz w:val="27"/>
                <w:szCs w:val="27"/>
                <w:lang w:eastAsia="en-GB"/>
              </w:rPr>
              <w:t xml:space="preserve">Match between system and the real world </w:t>
            </w:r>
          </w:p>
          <w:p w14:paraId="0E9275DC" w14:textId="1607F309" w:rsidR="00C433E2" w:rsidRDefault="00C433E2" w:rsidP="00C433E2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color w:val="333333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sz w:val="27"/>
                <w:szCs w:val="27"/>
                <w:lang w:eastAsia="en-GB"/>
              </w:rPr>
              <w:t xml:space="preserve">User control and freedom </w:t>
            </w:r>
          </w:p>
          <w:p w14:paraId="4A035671" w14:textId="06F98288" w:rsidR="00C433E2" w:rsidRDefault="00C433E2" w:rsidP="00C433E2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color w:val="333333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sz w:val="27"/>
                <w:szCs w:val="27"/>
                <w:lang w:eastAsia="en-GB"/>
              </w:rPr>
              <w:t>Consistency and standards</w:t>
            </w:r>
          </w:p>
          <w:p w14:paraId="2D114811" w14:textId="27ADBB11" w:rsidR="00C433E2" w:rsidRDefault="00C433E2" w:rsidP="00C433E2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color w:val="333333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sz w:val="27"/>
                <w:szCs w:val="27"/>
                <w:lang w:eastAsia="en-GB"/>
              </w:rPr>
              <w:t xml:space="preserve">Error prevention </w:t>
            </w:r>
          </w:p>
          <w:p w14:paraId="4EEE3804" w14:textId="447345F6" w:rsidR="00C433E2" w:rsidRDefault="00C433E2" w:rsidP="00C433E2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color w:val="333333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sz w:val="27"/>
                <w:szCs w:val="27"/>
                <w:lang w:eastAsia="en-GB"/>
              </w:rPr>
              <w:t xml:space="preserve">Recognition rather than recall </w:t>
            </w:r>
          </w:p>
          <w:p w14:paraId="154FB5B4" w14:textId="2B6C85E4" w:rsidR="00C433E2" w:rsidRDefault="00C433E2" w:rsidP="00C433E2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color w:val="333333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sz w:val="27"/>
                <w:szCs w:val="27"/>
                <w:lang w:eastAsia="en-GB"/>
              </w:rPr>
              <w:t xml:space="preserve">Flexibility and efficiency of use </w:t>
            </w:r>
          </w:p>
          <w:p w14:paraId="7D593824" w14:textId="7DB88B29" w:rsidR="00C433E2" w:rsidRDefault="00C433E2" w:rsidP="00C433E2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color w:val="333333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sz w:val="27"/>
                <w:szCs w:val="27"/>
                <w:lang w:eastAsia="en-GB"/>
              </w:rPr>
              <w:t xml:space="preserve">Aesthetic and minimalistic design </w:t>
            </w:r>
          </w:p>
          <w:p w14:paraId="2BBF98A2" w14:textId="4E6A7651" w:rsidR="00C433E2" w:rsidRDefault="00C433E2" w:rsidP="00C433E2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color w:val="333333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sz w:val="27"/>
                <w:szCs w:val="27"/>
                <w:lang w:eastAsia="en-GB"/>
              </w:rPr>
              <w:t>Help users recognize, diagnose, and recover from errors</w:t>
            </w:r>
          </w:p>
          <w:p w14:paraId="6549EEBF" w14:textId="4A0C660F" w:rsidR="00C433E2" w:rsidRPr="00C433E2" w:rsidRDefault="00C433E2" w:rsidP="00C433E2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color w:val="333333"/>
                <w:sz w:val="27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sz w:val="27"/>
                <w:szCs w:val="27"/>
                <w:lang w:eastAsia="en-GB"/>
              </w:rPr>
              <w:t>Help and documentation</w:t>
            </w:r>
          </w:p>
          <w:p w14:paraId="1A69943C" w14:textId="77777777" w:rsidR="00C433E2" w:rsidRDefault="00C433E2"/>
        </w:tc>
      </w:tr>
      <w:tr w:rsidR="00C433E2" w14:paraId="56732EB9" w14:textId="77777777" w:rsidTr="00C433E2">
        <w:tc>
          <w:tcPr>
            <w:tcW w:w="4508" w:type="dxa"/>
          </w:tcPr>
          <w:p w14:paraId="47A9961B" w14:textId="171F738A" w:rsidR="00C433E2" w:rsidRDefault="00C433E2">
            <w:r>
              <w:rPr>
                <w:rFonts w:ascii="Calibri" w:hAnsi="Calibri" w:cs="Calibri"/>
                <w:color w:val="2C3E50"/>
                <w:sz w:val="27"/>
                <w:szCs w:val="27"/>
                <w:shd w:val="clear" w:color="auto" w:fill="FEF1C4"/>
              </w:rPr>
              <w:t>Wong, E. (2018). </w:t>
            </w:r>
            <w:r>
              <w:rPr>
                <w:rFonts w:ascii="Calibri" w:hAnsi="Calibri" w:cs="Calibri"/>
                <w:i/>
                <w:iCs/>
                <w:color w:val="2C3E50"/>
                <w:sz w:val="27"/>
                <w:szCs w:val="27"/>
                <w:shd w:val="clear" w:color="auto" w:fill="FEF1C4"/>
              </w:rPr>
              <w:t>Shneiderman’s Eight Golden Rules Will Help You Design Better Interfaces</w:t>
            </w:r>
            <w:r>
              <w:rPr>
                <w:rFonts w:ascii="Calibri" w:hAnsi="Calibri" w:cs="Calibri"/>
                <w:color w:val="2C3E50"/>
                <w:sz w:val="27"/>
                <w:szCs w:val="27"/>
                <w:shd w:val="clear" w:color="auto" w:fill="FEF1C4"/>
              </w:rPr>
              <w:t xml:space="preserve">. [online] The Interaction Design Foundation. Available at: </w:t>
            </w:r>
            <w:hyperlink r:id="rId9" w:history="1">
              <w:r w:rsidRPr="006E38F1">
                <w:rPr>
                  <w:rStyle w:val="Hyperlink"/>
                  <w:rFonts w:ascii="Calibri" w:hAnsi="Calibri" w:cs="Calibri"/>
                  <w:sz w:val="27"/>
                  <w:szCs w:val="27"/>
                  <w:shd w:val="clear" w:color="auto" w:fill="FEF1C4"/>
                </w:rPr>
                <w:t>https://www.interaction-design.org/literature/article/shneiderman-s-eight-golden-rules-will-help-you-design-better-interfaces</w:t>
              </w:r>
            </w:hyperlink>
            <w:r>
              <w:rPr>
                <w:rFonts w:ascii="Calibri" w:hAnsi="Calibri" w:cs="Calibri"/>
                <w:color w:val="2C3E50"/>
                <w:sz w:val="27"/>
                <w:szCs w:val="27"/>
                <w:shd w:val="clear" w:color="auto" w:fill="FEF1C4"/>
              </w:rPr>
              <w:t>.</w:t>
            </w:r>
          </w:p>
        </w:tc>
        <w:tc>
          <w:tcPr>
            <w:tcW w:w="4508" w:type="dxa"/>
          </w:tcPr>
          <w:p w14:paraId="1DE23DAF" w14:textId="77777777" w:rsidR="00C433E2" w:rsidRPr="00C433E2" w:rsidRDefault="00C433E2" w:rsidP="00C433E2">
            <w:pPr>
              <w:pStyle w:val="ListParagraph"/>
              <w:numPr>
                <w:ilvl w:val="0"/>
                <w:numId w:val="1"/>
              </w:numPr>
              <w:rPr>
                <w:rStyle w:val="Strong"/>
                <w:b w:val="0"/>
                <w:bCs w:val="0"/>
              </w:rPr>
            </w:pPr>
            <w:r w:rsidRPr="00C433E2">
              <w:rPr>
                <w:rStyle w:val="Strong"/>
                <w:rFonts w:ascii="Merriweather" w:hAnsi="Merriweather"/>
                <w:b w:val="0"/>
                <w:bCs w:val="0"/>
                <w:color w:val="2B2B2B"/>
                <w:sz w:val="27"/>
                <w:szCs w:val="27"/>
                <w:shd w:val="clear" w:color="auto" w:fill="F9F9F9"/>
              </w:rPr>
              <w:t>Strive for consistency</w:t>
            </w:r>
          </w:p>
          <w:p w14:paraId="2DDAF7B9" w14:textId="77777777" w:rsidR="00C433E2" w:rsidRPr="00C433E2" w:rsidRDefault="00C433E2" w:rsidP="00C433E2">
            <w:pPr>
              <w:pStyle w:val="ListParagraph"/>
              <w:numPr>
                <w:ilvl w:val="0"/>
                <w:numId w:val="1"/>
              </w:numPr>
              <w:rPr>
                <w:rStyle w:val="Strong"/>
                <w:b w:val="0"/>
                <w:bCs w:val="0"/>
              </w:rPr>
            </w:pPr>
            <w:r w:rsidRPr="00C433E2">
              <w:rPr>
                <w:rStyle w:val="Strong"/>
                <w:rFonts w:ascii="Merriweather" w:hAnsi="Merriweather"/>
                <w:b w:val="0"/>
                <w:bCs w:val="0"/>
                <w:color w:val="2B2B2B"/>
                <w:sz w:val="27"/>
                <w:szCs w:val="27"/>
                <w:shd w:val="clear" w:color="auto" w:fill="F9F9F9"/>
              </w:rPr>
              <w:t>Enable frequent users to use shortcuts</w:t>
            </w:r>
          </w:p>
          <w:p w14:paraId="1011A3DD" w14:textId="77777777" w:rsidR="00C433E2" w:rsidRPr="00C433E2" w:rsidRDefault="00C433E2" w:rsidP="00C433E2">
            <w:pPr>
              <w:pStyle w:val="ListParagraph"/>
              <w:numPr>
                <w:ilvl w:val="0"/>
                <w:numId w:val="1"/>
              </w:numPr>
              <w:rPr>
                <w:rStyle w:val="Strong"/>
                <w:b w:val="0"/>
                <w:bCs w:val="0"/>
              </w:rPr>
            </w:pPr>
            <w:r w:rsidRPr="00C433E2">
              <w:rPr>
                <w:rStyle w:val="Strong"/>
                <w:rFonts w:ascii="Merriweather" w:hAnsi="Merriweather"/>
                <w:b w:val="0"/>
                <w:bCs w:val="0"/>
                <w:color w:val="2B2B2B"/>
                <w:sz w:val="27"/>
                <w:szCs w:val="27"/>
                <w:shd w:val="clear" w:color="auto" w:fill="F9F9F9"/>
              </w:rPr>
              <w:t>Offer informative feedback</w:t>
            </w:r>
          </w:p>
          <w:p w14:paraId="36478C08" w14:textId="77777777" w:rsidR="00C433E2" w:rsidRPr="00C433E2" w:rsidRDefault="00C433E2" w:rsidP="00C433E2">
            <w:pPr>
              <w:pStyle w:val="ListParagraph"/>
              <w:numPr>
                <w:ilvl w:val="0"/>
                <w:numId w:val="1"/>
              </w:numPr>
              <w:rPr>
                <w:rStyle w:val="Strong"/>
                <w:b w:val="0"/>
                <w:bCs w:val="0"/>
              </w:rPr>
            </w:pPr>
            <w:r w:rsidRPr="00C433E2">
              <w:rPr>
                <w:rStyle w:val="Strong"/>
                <w:rFonts w:ascii="Merriweather" w:hAnsi="Merriweather"/>
                <w:b w:val="0"/>
                <w:bCs w:val="0"/>
                <w:color w:val="2B2B2B"/>
                <w:sz w:val="27"/>
                <w:szCs w:val="27"/>
                <w:shd w:val="clear" w:color="auto" w:fill="F9F9F9"/>
              </w:rPr>
              <w:t>Design dialogue to yield closure</w:t>
            </w:r>
          </w:p>
          <w:p w14:paraId="2DEBD839" w14:textId="77777777" w:rsidR="00C433E2" w:rsidRPr="00C433E2" w:rsidRDefault="00C433E2" w:rsidP="00C433E2">
            <w:pPr>
              <w:pStyle w:val="ListParagraph"/>
              <w:numPr>
                <w:ilvl w:val="0"/>
                <w:numId w:val="1"/>
              </w:numPr>
              <w:rPr>
                <w:rStyle w:val="Strong"/>
                <w:b w:val="0"/>
                <w:bCs w:val="0"/>
              </w:rPr>
            </w:pPr>
            <w:r w:rsidRPr="00C433E2">
              <w:rPr>
                <w:rStyle w:val="Strong"/>
                <w:rFonts w:ascii="Merriweather" w:hAnsi="Merriweather"/>
                <w:b w:val="0"/>
                <w:bCs w:val="0"/>
                <w:color w:val="2B2B2B"/>
                <w:sz w:val="27"/>
                <w:szCs w:val="27"/>
                <w:shd w:val="clear" w:color="auto" w:fill="F9F9F9"/>
              </w:rPr>
              <w:t>Offer simple error handling</w:t>
            </w:r>
          </w:p>
          <w:p w14:paraId="67DA7FE8" w14:textId="77777777" w:rsidR="00C433E2" w:rsidRPr="00C433E2" w:rsidRDefault="00C433E2" w:rsidP="00C433E2">
            <w:pPr>
              <w:pStyle w:val="ListParagraph"/>
              <w:numPr>
                <w:ilvl w:val="0"/>
                <w:numId w:val="1"/>
              </w:numPr>
              <w:rPr>
                <w:rStyle w:val="Strong"/>
                <w:b w:val="0"/>
                <w:bCs w:val="0"/>
              </w:rPr>
            </w:pPr>
            <w:r w:rsidRPr="00C433E2">
              <w:rPr>
                <w:rStyle w:val="Strong"/>
                <w:rFonts w:ascii="Merriweather" w:hAnsi="Merriweather"/>
                <w:b w:val="0"/>
                <w:bCs w:val="0"/>
                <w:color w:val="2B2B2B"/>
                <w:sz w:val="27"/>
                <w:szCs w:val="27"/>
                <w:shd w:val="clear" w:color="auto" w:fill="F9F9F9"/>
              </w:rPr>
              <w:t>Permit easy reversal of actions</w:t>
            </w:r>
          </w:p>
          <w:p w14:paraId="028F2471" w14:textId="77777777" w:rsidR="00C433E2" w:rsidRPr="00C433E2" w:rsidRDefault="00C433E2" w:rsidP="00C433E2">
            <w:pPr>
              <w:pStyle w:val="ListParagraph"/>
              <w:numPr>
                <w:ilvl w:val="0"/>
                <w:numId w:val="1"/>
              </w:numPr>
              <w:rPr>
                <w:rStyle w:val="Strong"/>
                <w:b w:val="0"/>
                <w:bCs w:val="0"/>
              </w:rPr>
            </w:pPr>
            <w:r w:rsidRPr="00C433E2">
              <w:rPr>
                <w:rStyle w:val="Strong"/>
                <w:rFonts w:ascii="Merriweather" w:hAnsi="Merriweather"/>
                <w:b w:val="0"/>
                <w:bCs w:val="0"/>
                <w:color w:val="2B2B2B"/>
                <w:sz w:val="27"/>
                <w:szCs w:val="27"/>
                <w:shd w:val="clear" w:color="auto" w:fill="F9F9F9"/>
              </w:rPr>
              <w:t>Support internal locus of control</w:t>
            </w:r>
          </w:p>
          <w:p w14:paraId="4FF072DB" w14:textId="20B34294" w:rsidR="00C433E2" w:rsidRDefault="00C433E2" w:rsidP="00C433E2">
            <w:pPr>
              <w:pStyle w:val="ListParagraph"/>
              <w:numPr>
                <w:ilvl w:val="0"/>
                <w:numId w:val="1"/>
              </w:numPr>
            </w:pPr>
            <w:r w:rsidRPr="00C433E2">
              <w:rPr>
                <w:rStyle w:val="Strong"/>
                <w:rFonts w:ascii="Merriweather" w:hAnsi="Merriweather"/>
                <w:b w:val="0"/>
                <w:bCs w:val="0"/>
                <w:color w:val="2B2B2B"/>
                <w:sz w:val="27"/>
                <w:szCs w:val="27"/>
                <w:shd w:val="clear" w:color="auto" w:fill="F9F9F9"/>
              </w:rPr>
              <w:t>Reduce short-term memory load</w:t>
            </w:r>
          </w:p>
        </w:tc>
      </w:tr>
      <w:tr w:rsidR="00C433E2" w14:paraId="34F83B21" w14:textId="77777777" w:rsidTr="00C433E2">
        <w:tc>
          <w:tcPr>
            <w:tcW w:w="4508" w:type="dxa"/>
          </w:tcPr>
          <w:p w14:paraId="1BD45004" w14:textId="77777777" w:rsidR="00C433E2" w:rsidRDefault="00C433E2"/>
        </w:tc>
        <w:tc>
          <w:tcPr>
            <w:tcW w:w="4508" w:type="dxa"/>
          </w:tcPr>
          <w:p w14:paraId="3B0E7701" w14:textId="77777777" w:rsidR="00C433E2" w:rsidRDefault="00C433E2"/>
        </w:tc>
      </w:tr>
      <w:tr w:rsidR="00C433E2" w14:paraId="05D6B36B" w14:textId="77777777" w:rsidTr="00C433E2">
        <w:tc>
          <w:tcPr>
            <w:tcW w:w="4508" w:type="dxa"/>
          </w:tcPr>
          <w:p w14:paraId="32012BB1" w14:textId="77777777" w:rsidR="00C433E2" w:rsidRDefault="00C433E2"/>
        </w:tc>
        <w:tc>
          <w:tcPr>
            <w:tcW w:w="4508" w:type="dxa"/>
          </w:tcPr>
          <w:p w14:paraId="71F602CF" w14:textId="77777777" w:rsidR="00C433E2" w:rsidRDefault="00C433E2"/>
        </w:tc>
      </w:tr>
    </w:tbl>
    <w:p w14:paraId="3624382C" w14:textId="77777777" w:rsidR="00C433E2" w:rsidRDefault="00C433E2"/>
    <w:sectPr w:rsidR="00C43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592F2" w14:textId="77777777" w:rsidR="00C433E2" w:rsidRDefault="00C433E2" w:rsidP="00C433E2">
      <w:pPr>
        <w:spacing w:after="0" w:line="240" w:lineRule="auto"/>
      </w:pPr>
      <w:r>
        <w:separator/>
      </w:r>
    </w:p>
  </w:endnote>
  <w:endnote w:type="continuationSeparator" w:id="0">
    <w:p w14:paraId="4BE4880C" w14:textId="77777777" w:rsidR="00C433E2" w:rsidRDefault="00C433E2" w:rsidP="00C43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F4EC8" w14:textId="77777777" w:rsidR="00C433E2" w:rsidRDefault="00C433E2" w:rsidP="00C433E2">
      <w:pPr>
        <w:spacing w:after="0" w:line="240" w:lineRule="auto"/>
      </w:pPr>
      <w:r>
        <w:separator/>
      </w:r>
    </w:p>
  </w:footnote>
  <w:footnote w:type="continuationSeparator" w:id="0">
    <w:p w14:paraId="2E5B2800" w14:textId="77777777" w:rsidR="00C433E2" w:rsidRDefault="00C433E2" w:rsidP="00C433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A47B4"/>
    <w:multiLevelType w:val="hybridMultilevel"/>
    <w:tmpl w:val="33E89930"/>
    <w:lvl w:ilvl="0" w:tplc="B892493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2FD"/>
    <w:rsid w:val="00003420"/>
    <w:rsid w:val="00031C9A"/>
    <w:rsid w:val="000822FD"/>
    <w:rsid w:val="000B1421"/>
    <w:rsid w:val="00133B9F"/>
    <w:rsid w:val="00292238"/>
    <w:rsid w:val="00387E71"/>
    <w:rsid w:val="0044478F"/>
    <w:rsid w:val="00446BE3"/>
    <w:rsid w:val="00456472"/>
    <w:rsid w:val="00484C5E"/>
    <w:rsid w:val="004B5668"/>
    <w:rsid w:val="00501C26"/>
    <w:rsid w:val="00654785"/>
    <w:rsid w:val="006E4B23"/>
    <w:rsid w:val="0071752C"/>
    <w:rsid w:val="00771069"/>
    <w:rsid w:val="00782478"/>
    <w:rsid w:val="007E2D68"/>
    <w:rsid w:val="00943680"/>
    <w:rsid w:val="00960B89"/>
    <w:rsid w:val="00A07DC9"/>
    <w:rsid w:val="00AB2AB9"/>
    <w:rsid w:val="00AC6149"/>
    <w:rsid w:val="00B70844"/>
    <w:rsid w:val="00B7257D"/>
    <w:rsid w:val="00C018F0"/>
    <w:rsid w:val="00C406CC"/>
    <w:rsid w:val="00C433E2"/>
    <w:rsid w:val="00C46D27"/>
    <w:rsid w:val="00CA4F0B"/>
    <w:rsid w:val="00CB5C35"/>
    <w:rsid w:val="00ED2F78"/>
    <w:rsid w:val="00EE1753"/>
    <w:rsid w:val="00FB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4BBB5"/>
  <w15:chartTrackingRefBased/>
  <w15:docId w15:val="{0FCF7BF1-06D0-4071-83A6-AEE3790C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33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1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33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3E2"/>
  </w:style>
  <w:style w:type="paragraph" w:styleId="Footer">
    <w:name w:val="footer"/>
    <w:basedOn w:val="Normal"/>
    <w:link w:val="FooterChar"/>
    <w:uiPriority w:val="99"/>
    <w:unhideWhenUsed/>
    <w:rsid w:val="00C433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3E2"/>
  </w:style>
  <w:style w:type="character" w:customStyle="1" w:styleId="Heading2Char">
    <w:name w:val="Heading 2 Char"/>
    <w:basedOn w:val="DefaultParagraphFont"/>
    <w:link w:val="Heading2"/>
    <w:uiPriority w:val="9"/>
    <w:rsid w:val="00C433E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C433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33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3E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433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5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ngroup.com/articles/ten-usability-heuristic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nteraction-design.org/literature/article/shneiderman-s-eight-golden-rules-will-help-you-design-better-interfa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Truro and Penwith College</Company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Christie (Student)</dc:creator>
  <cp:keywords/>
  <dc:description/>
  <cp:lastModifiedBy>Ed Christie (Student)</cp:lastModifiedBy>
  <cp:revision>2</cp:revision>
  <dcterms:created xsi:type="dcterms:W3CDTF">2022-02-08T11:41:00Z</dcterms:created>
  <dcterms:modified xsi:type="dcterms:W3CDTF">2022-02-08T11:41:00Z</dcterms:modified>
</cp:coreProperties>
</file>