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F4C5" w14:textId="28F27828" w:rsidR="00A82825" w:rsidRDefault="00CA678E">
      <w:r>
        <w:t xml:space="preserve">T4 LA CAPA DE RED Y PROTOCOLO IP: </w:t>
      </w:r>
    </w:p>
    <w:p w14:paraId="6E325BB9" w14:textId="3CEAC89A" w:rsidR="00CA678E" w:rsidRDefault="00CA678E">
      <w:r>
        <w:t xml:space="preserve">ARQUITECTURAS TCP/IP: </w:t>
      </w:r>
    </w:p>
    <w:p w14:paraId="2DB2D9B6" w14:textId="17450DE7" w:rsidR="00CA678E" w:rsidRDefault="00CA678E">
      <w:r w:rsidRPr="00CA678E">
        <w:drawing>
          <wp:inline distT="0" distB="0" distL="0" distR="0" wp14:anchorId="4F331B2D" wp14:editId="5C3F8B6E">
            <wp:extent cx="5052060" cy="2531971"/>
            <wp:effectExtent l="0" t="0" r="0" b="1905"/>
            <wp:docPr id="128731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8645" name=""/>
                    <pic:cNvPicPr/>
                  </pic:nvPicPr>
                  <pic:blipFill>
                    <a:blip r:embed="rId5"/>
                    <a:stretch>
                      <a:fillRect/>
                    </a:stretch>
                  </pic:blipFill>
                  <pic:spPr>
                    <a:xfrm>
                      <a:off x="0" y="0"/>
                      <a:ext cx="5056552" cy="2534222"/>
                    </a:xfrm>
                    <a:prstGeom prst="rect">
                      <a:avLst/>
                    </a:prstGeom>
                  </pic:spPr>
                </pic:pic>
              </a:graphicData>
            </a:graphic>
          </wp:inline>
        </w:drawing>
      </w:r>
    </w:p>
    <w:p w14:paraId="5EEB6C00" w14:textId="77777777" w:rsidR="00CA678E" w:rsidRDefault="00CA678E"/>
    <w:p w14:paraId="443F4122" w14:textId="0C503542" w:rsidR="00CA678E" w:rsidRDefault="00CA678E">
      <w:r>
        <w:t xml:space="preserve">PROTOCOLO DE RED DE INTERNET: proporciona un servicio básico de entrega de paquetes. Sin embargo, no está orientado a conexión y no es fiable porque no hay detección o recuperación de paquetes perdidos. No garantiza que lleguen en orden y no evita duplicados. </w:t>
      </w:r>
    </w:p>
    <w:p w14:paraId="3BA676FE" w14:textId="65B98627" w:rsidR="00CA678E" w:rsidRDefault="00CA678E">
      <w:r>
        <w:t xml:space="preserve">Tiene unas funciones básicas: </w:t>
      </w:r>
    </w:p>
    <w:p w14:paraId="0896D5FF" w14:textId="1579CE02" w:rsidR="00CA678E" w:rsidRDefault="00CA678E" w:rsidP="00CA678E">
      <w:pPr>
        <w:pStyle w:val="Prrafodelista"/>
        <w:numPr>
          <w:ilvl w:val="0"/>
          <w:numId w:val="1"/>
        </w:numPr>
      </w:pPr>
      <w:r>
        <w:t xml:space="preserve">Direccionamiento: con un esquema global. </w:t>
      </w:r>
    </w:p>
    <w:p w14:paraId="58D9B6D0" w14:textId="274062E8" w:rsidR="00CA678E" w:rsidRDefault="00CA678E" w:rsidP="00CA678E">
      <w:pPr>
        <w:pStyle w:val="Prrafodelista"/>
        <w:numPr>
          <w:ilvl w:val="0"/>
          <w:numId w:val="1"/>
        </w:numPr>
      </w:pPr>
      <w:r>
        <w:t xml:space="preserve">Fragmentación y reensamblaje de paquetes: en un tamaño aceptable por la red, adaptándose a diferentes MTU (máximum transfer </w:t>
      </w:r>
      <w:proofErr w:type="spellStart"/>
      <w:r>
        <w:t>unit</w:t>
      </w:r>
      <w:proofErr w:type="spellEnd"/>
      <w:r>
        <w:t>, en ethernet 1500 bytes).</w:t>
      </w:r>
    </w:p>
    <w:p w14:paraId="030C8235" w14:textId="336DA17D" w:rsidR="00CA678E" w:rsidRDefault="00CA678E" w:rsidP="00CA678E">
      <w:pPr>
        <w:pStyle w:val="Prrafodelista"/>
        <w:numPr>
          <w:ilvl w:val="0"/>
          <w:numId w:val="1"/>
        </w:numPr>
      </w:pPr>
      <w:r>
        <w:t xml:space="preserve">Encaminamiento y retransmisión de datagramas: atendiendo a información de tabla de rutas. </w:t>
      </w:r>
    </w:p>
    <w:p w14:paraId="37D4B1DF" w14:textId="75B89A17" w:rsidR="00F728ED" w:rsidRDefault="00C25936" w:rsidP="00F728ED">
      <w:r>
        <w:br w:type="page"/>
      </w:r>
    </w:p>
    <w:p w14:paraId="4986FA67" w14:textId="370250FC" w:rsidR="00F728ED" w:rsidRDefault="00F728ED" w:rsidP="00F728ED">
      <w:r>
        <w:lastRenderedPageBreak/>
        <w:t>DIRECCIONAMIENTO IPV4: las direcciones IP tienen 4 bytes (32 bits) expresadas con una notación de punto (</w:t>
      </w:r>
      <w:proofErr w:type="spellStart"/>
      <w:r>
        <w:t>ej</w:t>
      </w:r>
      <w:proofErr w:type="spellEnd"/>
      <w:r>
        <w:t xml:space="preserve"> 10.0.0.1), lo que representa </w:t>
      </w:r>
      <w:proofErr w:type="gramStart"/>
      <w:r>
        <w:t>unas 4.000 millones</w:t>
      </w:r>
      <w:proofErr w:type="gramEnd"/>
      <w:r>
        <w:t xml:space="preserve"> de direcciones IP. Las IPv6 tienen 32 bytes (128 bits). </w:t>
      </w:r>
      <w:r w:rsidR="00D46311">
        <w:t xml:space="preserve">Tenemos varios tipos: </w:t>
      </w:r>
    </w:p>
    <w:p w14:paraId="6F709195" w14:textId="031C23E7" w:rsidR="00D46311" w:rsidRDefault="00D46311" w:rsidP="00D46311">
      <w:pPr>
        <w:pStyle w:val="Prrafodelista"/>
        <w:numPr>
          <w:ilvl w:val="0"/>
          <w:numId w:val="1"/>
        </w:numPr>
      </w:pPr>
      <w:proofErr w:type="spellStart"/>
      <w:r>
        <w:t>Unicast</w:t>
      </w:r>
      <w:proofErr w:type="spellEnd"/>
      <w:r>
        <w:t xml:space="preserve">: dirección de un único host, uno a uno. </w:t>
      </w:r>
    </w:p>
    <w:p w14:paraId="54BF822F" w14:textId="27F84DB5" w:rsidR="00D46311" w:rsidRDefault="00D46311" w:rsidP="00D46311">
      <w:pPr>
        <w:pStyle w:val="Prrafodelista"/>
        <w:numPr>
          <w:ilvl w:val="0"/>
          <w:numId w:val="1"/>
        </w:numPr>
      </w:pPr>
      <w:r>
        <w:t xml:space="preserve">Broadcast: la dirección identifica a todos los hosts posibles, uno a todos. </w:t>
      </w:r>
    </w:p>
    <w:p w14:paraId="097B904A" w14:textId="7AFD24AC" w:rsidR="00D46311" w:rsidRDefault="00D46311" w:rsidP="00D46311">
      <w:pPr>
        <w:pStyle w:val="Prrafodelista"/>
        <w:numPr>
          <w:ilvl w:val="0"/>
          <w:numId w:val="1"/>
        </w:numPr>
      </w:pPr>
      <w:proofErr w:type="spellStart"/>
      <w:r>
        <w:t>Multicast</w:t>
      </w:r>
      <w:proofErr w:type="spellEnd"/>
      <w:r>
        <w:t xml:space="preserve">: la dirección representa a un grupo de hosts, uno a varios. </w:t>
      </w:r>
    </w:p>
    <w:p w14:paraId="06EB66A9" w14:textId="0764BE65" w:rsidR="00D46311" w:rsidRDefault="00D46311" w:rsidP="00D46311">
      <w:pPr>
        <w:pStyle w:val="Prrafodelista"/>
        <w:numPr>
          <w:ilvl w:val="0"/>
          <w:numId w:val="1"/>
        </w:numPr>
      </w:pPr>
      <w:proofErr w:type="spellStart"/>
      <w:r>
        <w:t>Anycast</w:t>
      </w:r>
      <w:proofErr w:type="spellEnd"/>
      <w:r>
        <w:t xml:space="preserve">: la dirección se asocia a un cualquiera de los miembros de un grupo, uno a uno de varios. </w:t>
      </w:r>
    </w:p>
    <w:p w14:paraId="05AC76CC" w14:textId="77777777" w:rsidR="00D46311" w:rsidRDefault="00D46311" w:rsidP="001825A8"/>
    <w:p w14:paraId="473D31E3" w14:textId="1047B7AB" w:rsidR="001825A8" w:rsidRDefault="001825A8" w:rsidP="001825A8">
      <w:r>
        <w:t xml:space="preserve">Estas direcciones se agrupan en distintas clases, permitiendo mas o menos hosts. </w:t>
      </w:r>
    </w:p>
    <w:p w14:paraId="6B419B76" w14:textId="437F3F38" w:rsidR="001825A8" w:rsidRDefault="001825A8" w:rsidP="001825A8">
      <w:r w:rsidRPr="001825A8">
        <w:drawing>
          <wp:inline distT="0" distB="0" distL="0" distR="0" wp14:anchorId="03A92109" wp14:editId="6173ABB4">
            <wp:extent cx="5400040" cy="1857375"/>
            <wp:effectExtent l="0" t="0" r="0" b="9525"/>
            <wp:docPr id="222872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72832" name=""/>
                    <pic:cNvPicPr/>
                  </pic:nvPicPr>
                  <pic:blipFill>
                    <a:blip r:embed="rId6"/>
                    <a:stretch>
                      <a:fillRect/>
                    </a:stretch>
                  </pic:blipFill>
                  <pic:spPr>
                    <a:xfrm>
                      <a:off x="0" y="0"/>
                      <a:ext cx="5400040" cy="1857375"/>
                    </a:xfrm>
                    <a:prstGeom prst="rect">
                      <a:avLst/>
                    </a:prstGeom>
                  </pic:spPr>
                </pic:pic>
              </a:graphicData>
            </a:graphic>
          </wp:inline>
        </w:drawing>
      </w:r>
    </w:p>
    <w:p w14:paraId="606E0D6A" w14:textId="3C7B651D" w:rsidR="001825A8" w:rsidRDefault="001825A8" w:rsidP="001825A8">
      <w:r>
        <w:t xml:space="preserve">La primera parte denota la red en la que estamos y la segunda al host. A más grande la red, menos </w:t>
      </w:r>
      <w:proofErr w:type="gramStart"/>
      <w:r>
        <w:t>tenemos</w:t>
      </w:r>
      <w:proofErr w:type="gramEnd"/>
      <w:r>
        <w:t xml:space="preserve"> pero más hosts caben. </w:t>
      </w:r>
    </w:p>
    <w:p w14:paraId="6F704916" w14:textId="60F39452" w:rsidR="001825A8" w:rsidRDefault="001825A8" w:rsidP="001825A8">
      <w:r>
        <w:t xml:space="preserve">El direccionamiento basado en clases provoca fragmentación en el espacio de direcciones y un crecimiento no escalable de las tablas de rutas, por lo que en la actualidad no se usa. </w:t>
      </w:r>
    </w:p>
    <w:p w14:paraId="67D56431" w14:textId="77777777" w:rsidR="00AF6BBB" w:rsidRDefault="00AF6BBB" w:rsidP="001825A8"/>
    <w:p w14:paraId="11D8B0AD" w14:textId="7F752E3A" w:rsidR="001825A8" w:rsidRDefault="001825A8" w:rsidP="001825A8">
      <w:r>
        <w:t xml:space="preserve">Para evitar esta fragmentación se utiliza </w:t>
      </w:r>
      <w:r w:rsidR="00AF6BBB">
        <w:t xml:space="preserve">el direccionamiento sin clase (CIDR, </w:t>
      </w:r>
      <w:proofErr w:type="spellStart"/>
      <w:r w:rsidR="00AF6BBB">
        <w:t>classless</w:t>
      </w:r>
      <w:proofErr w:type="spellEnd"/>
      <w:r w:rsidR="00AF6BBB">
        <w:t xml:space="preserve"> </w:t>
      </w:r>
      <w:proofErr w:type="spellStart"/>
      <w:r w:rsidR="00AF6BBB">
        <w:t>interdomain</w:t>
      </w:r>
      <w:proofErr w:type="spellEnd"/>
      <w:r w:rsidR="00AF6BBB">
        <w:t xml:space="preserve"> </w:t>
      </w:r>
      <w:proofErr w:type="spellStart"/>
      <w:r w:rsidR="00AF6BBB">
        <w:t>routing</w:t>
      </w:r>
      <w:proofErr w:type="spellEnd"/>
      <w:r w:rsidR="00AF6BBB">
        <w:t xml:space="preserve">). Para ello se añade la longitud del prefijo de red a la derecha de la dirección. </w:t>
      </w:r>
    </w:p>
    <w:p w14:paraId="03177A34" w14:textId="23358EC4" w:rsidR="00AF6BBB" w:rsidRDefault="00AF6BBB" w:rsidP="001825A8">
      <w:r w:rsidRPr="00AF6BBB">
        <w:drawing>
          <wp:inline distT="0" distB="0" distL="0" distR="0" wp14:anchorId="58B2ADC6" wp14:editId="3E0FABBB">
            <wp:extent cx="5400040" cy="817880"/>
            <wp:effectExtent l="0" t="0" r="0" b="1270"/>
            <wp:docPr id="129006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9399" name=""/>
                    <pic:cNvPicPr/>
                  </pic:nvPicPr>
                  <pic:blipFill>
                    <a:blip r:embed="rId7"/>
                    <a:stretch>
                      <a:fillRect/>
                    </a:stretch>
                  </pic:blipFill>
                  <pic:spPr>
                    <a:xfrm>
                      <a:off x="0" y="0"/>
                      <a:ext cx="5400040" cy="817880"/>
                    </a:xfrm>
                    <a:prstGeom prst="rect">
                      <a:avLst/>
                    </a:prstGeom>
                  </pic:spPr>
                </pic:pic>
              </a:graphicData>
            </a:graphic>
          </wp:inline>
        </w:drawing>
      </w:r>
    </w:p>
    <w:p w14:paraId="5C3815AC" w14:textId="77777777" w:rsidR="00D202D1" w:rsidRDefault="00AF6BBB" w:rsidP="001825A8">
      <w:r>
        <w:t xml:space="preserve">Realmente, antes no se indicaba la longitud de la </w:t>
      </w:r>
      <w:proofErr w:type="gramStart"/>
      <w:r>
        <w:t>red</w:t>
      </w:r>
      <w:proofErr w:type="gramEnd"/>
      <w:r>
        <w:t xml:space="preserve"> sino que se añadía una máscara de red. </w:t>
      </w:r>
    </w:p>
    <w:p w14:paraId="17C50AEE" w14:textId="0D1D853F" w:rsidR="00D202D1" w:rsidRDefault="00D202D1" w:rsidP="001825A8">
      <w:r>
        <w:t xml:space="preserve">La máscara consiste en la longitud de la red con unos y la longitud del identificador con ceros. </w:t>
      </w:r>
    </w:p>
    <w:p w14:paraId="2FFA6CD9" w14:textId="404DE0F9" w:rsidR="00D202D1" w:rsidRDefault="00D202D1" w:rsidP="001825A8">
      <w:r>
        <w:lastRenderedPageBreak/>
        <w:t xml:space="preserve">Tenemos dos direcciones reservadas dentro de cada red: </w:t>
      </w:r>
    </w:p>
    <w:p w14:paraId="0812AE4E" w14:textId="3A5C693F" w:rsidR="00D202D1" w:rsidRDefault="00D202D1" w:rsidP="00D202D1">
      <w:pPr>
        <w:pStyle w:val="Prrafodelista"/>
        <w:numPr>
          <w:ilvl w:val="0"/>
          <w:numId w:val="1"/>
        </w:numPr>
      </w:pPr>
      <w:r>
        <w:t xml:space="preserve">La dirección de red: identificador de host todo a ceros. Identifica la red en tablas de encaminamiento, así que no se puede usar. </w:t>
      </w:r>
    </w:p>
    <w:p w14:paraId="671A6552" w14:textId="6E21D367" w:rsidR="00D202D1" w:rsidRDefault="00D202D1" w:rsidP="00D202D1">
      <w:pPr>
        <w:pStyle w:val="Prrafodelista"/>
        <w:numPr>
          <w:ilvl w:val="0"/>
          <w:numId w:val="1"/>
        </w:numPr>
      </w:pPr>
      <w:r>
        <w:t xml:space="preserve">La dirección de broadcast: identificador de host todo a unos. Usada para enviar un paquete a todas las máquinas de una misma red. </w:t>
      </w:r>
    </w:p>
    <w:p w14:paraId="095FF97F" w14:textId="2DB06102" w:rsidR="00D202D1" w:rsidRDefault="00D202D1" w:rsidP="00D202D1">
      <w:pPr>
        <w:pStyle w:val="Prrafodelista"/>
        <w:numPr>
          <w:ilvl w:val="0"/>
          <w:numId w:val="1"/>
        </w:numPr>
      </w:pPr>
      <w:r>
        <w:t xml:space="preserve">La dirección de </w:t>
      </w:r>
      <w:proofErr w:type="spellStart"/>
      <w:r>
        <w:t>loopback</w:t>
      </w:r>
      <w:proofErr w:type="spellEnd"/>
      <w:r>
        <w:t>: direcciones de bucle interno, referidas al mismo host. Nunca se envían por la red, ya que son hacia sí mismo. Se pueden tener varias direcciones así. Tienen formato 127.x.y.z (generalmente 127.0.0.1).</w:t>
      </w:r>
    </w:p>
    <w:p w14:paraId="7637E2F7" w14:textId="4236514F" w:rsidR="00C57A10" w:rsidRDefault="00C57A10" w:rsidP="00C57A10">
      <w:pPr>
        <w:pStyle w:val="Prrafodelista"/>
        <w:numPr>
          <w:ilvl w:val="0"/>
          <w:numId w:val="1"/>
        </w:numPr>
      </w:pPr>
      <w:r>
        <w:t xml:space="preserve">Direcciones privadas: conjunto de direcciones reservadas para uso privado. No son válidas para su uso en Internet. Los rangos son: </w:t>
      </w:r>
    </w:p>
    <w:p w14:paraId="6BD4CDCF" w14:textId="77777777" w:rsidR="00C57A10" w:rsidRDefault="00C57A10" w:rsidP="00C57A10">
      <w:pPr>
        <w:pStyle w:val="Prrafodelista"/>
      </w:pPr>
      <w:r>
        <w:t>10.0.0.0 – 10.255.255.255</w:t>
      </w:r>
      <w:r>
        <w:tab/>
        <w:t xml:space="preserve">~ 1 red privada de clase A </w:t>
      </w:r>
    </w:p>
    <w:p w14:paraId="5DE87569" w14:textId="77777777" w:rsidR="00C57A10" w:rsidRDefault="00C57A10" w:rsidP="00C57A10">
      <w:pPr>
        <w:pStyle w:val="Prrafodelista"/>
      </w:pPr>
      <w:r>
        <w:t>172.16.0.0 – 172.31.255.255 ~ 16 redes privadas de clase B</w:t>
      </w:r>
    </w:p>
    <w:p w14:paraId="2407D929" w14:textId="52486F11" w:rsidR="00C57A10" w:rsidRDefault="00C57A10" w:rsidP="00C57A10">
      <w:pPr>
        <w:pStyle w:val="Prrafodelista"/>
      </w:pPr>
      <w:r>
        <w:t>192.168.0.0 – 192.168.255.255 ~ 256 redes privadas de clase C</w:t>
      </w:r>
    </w:p>
    <w:p w14:paraId="20AF6834" w14:textId="4E8CF256" w:rsidR="00C57A10" w:rsidRDefault="00C57A10" w:rsidP="00C57A10">
      <w:pPr>
        <w:pStyle w:val="Prrafodelista"/>
        <w:numPr>
          <w:ilvl w:val="0"/>
          <w:numId w:val="1"/>
        </w:numPr>
      </w:pPr>
      <w:r>
        <w:t xml:space="preserve">Direcciones </w:t>
      </w:r>
      <w:proofErr w:type="spellStart"/>
      <w:r>
        <w:t>multicast</w:t>
      </w:r>
      <w:proofErr w:type="spellEnd"/>
      <w:r>
        <w:t xml:space="preserve"> (224.0.0.0/4). RFC 1112: identifican de forma lógica a un grupo de hosts en el segmento de red.</w:t>
      </w:r>
    </w:p>
    <w:p w14:paraId="300D27F5" w14:textId="77777777" w:rsidR="00C57A10" w:rsidRDefault="00C57A10" w:rsidP="00C57A10">
      <w:pPr>
        <w:pStyle w:val="Prrafodelista"/>
      </w:pPr>
      <w:r>
        <w:t>224.0.0.1 (todos los hosts)</w:t>
      </w:r>
    </w:p>
    <w:p w14:paraId="03C2A957" w14:textId="77777777" w:rsidR="00C57A10" w:rsidRDefault="00C57A10" w:rsidP="00C57A10">
      <w:pPr>
        <w:pStyle w:val="Prrafodelista"/>
      </w:pPr>
      <w:r>
        <w:t xml:space="preserve">224.0.0.2 (todos los </w:t>
      </w:r>
      <w:proofErr w:type="spellStart"/>
      <w:r>
        <w:t>routers</w:t>
      </w:r>
      <w:proofErr w:type="spellEnd"/>
      <w:r>
        <w:t>)</w:t>
      </w:r>
    </w:p>
    <w:p w14:paraId="0E9AC481" w14:textId="5DE71F15" w:rsidR="00C57A10" w:rsidRDefault="00C57A10" w:rsidP="00C57A10">
      <w:pPr>
        <w:pStyle w:val="Prrafodelista"/>
      </w:pPr>
      <w:r>
        <w:t>224.0.0.251 (</w:t>
      </w:r>
      <w:proofErr w:type="spellStart"/>
      <w:r>
        <w:t>multicast</w:t>
      </w:r>
      <w:proofErr w:type="spellEnd"/>
      <w:r>
        <w:t xml:space="preserve"> DNS, </w:t>
      </w:r>
      <w:proofErr w:type="spellStart"/>
      <w:r>
        <w:t>mDNS</w:t>
      </w:r>
      <w:proofErr w:type="spellEnd"/>
      <w:r>
        <w:t>)</w:t>
      </w:r>
    </w:p>
    <w:p w14:paraId="502244BC" w14:textId="77777777" w:rsidR="00C57A10" w:rsidRDefault="00C57A10" w:rsidP="00C57A10">
      <w:pPr>
        <w:pStyle w:val="Prrafodelista"/>
      </w:pPr>
    </w:p>
    <w:p w14:paraId="04BBEE16" w14:textId="32C484E4" w:rsidR="00C57A10" w:rsidRDefault="00C57A10" w:rsidP="00C57A10">
      <w:pPr>
        <w:pStyle w:val="Prrafodelista"/>
        <w:numPr>
          <w:ilvl w:val="0"/>
          <w:numId w:val="1"/>
        </w:numPr>
      </w:pPr>
      <w:r>
        <w:t xml:space="preserve">Direcciones públicas: hay entidades regionales de registro de Internet. Cada </w:t>
      </w:r>
      <w:proofErr w:type="spellStart"/>
      <w:r>
        <w:t>ip</w:t>
      </w:r>
      <w:proofErr w:type="spellEnd"/>
      <w:r>
        <w:t xml:space="preserve"> se debe solicitar a una de estas entidades (RIR, regional internet </w:t>
      </w:r>
      <w:proofErr w:type="spellStart"/>
      <w:r>
        <w:t>regitries</w:t>
      </w:r>
      <w:proofErr w:type="spellEnd"/>
      <w:r>
        <w:t>).</w:t>
      </w:r>
    </w:p>
    <w:p w14:paraId="4B073889" w14:textId="77777777" w:rsidR="00C25936" w:rsidRPr="00C25936" w:rsidRDefault="00C25936" w:rsidP="00C25936">
      <w:pPr>
        <w:pStyle w:val="Prrafodelista"/>
        <w:rPr>
          <w:lang w:val="en-US"/>
        </w:rPr>
      </w:pPr>
      <w:r w:rsidRPr="00C25936">
        <w:rPr>
          <w:lang w:val="en-US"/>
        </w:rPr>
        <w:t xml:space="preserve">ARIN (American Registry for Internet Numbers): </w:t>
      </w:r>
      <w:proofErr w:type="spellStart"/>
      <w:r w:rsidRPr="00C25936">
        <w:rPr>
          <w:lang w:val="en-US"/>
        </w:rPr>
        <w:t>NorteAmérica</w:t>
      </w:r>
      <w:proofErr w:type="spellEnd"/>
      <w:r w:rsidRPr="00C25936">
        <w:rPr>
          <w:lang w:val="en-US"/>
        </w:rPr>
        <w:t xml:space="preserve"> </w:t>
      </w:r>
    </w:p>
    <w:p w14:paraId="6F10CC7D" w14:textId="77777777" w:rsidR="00C25936" w:rsidRPr="00C25936" w:rsidRDefault="00C25936" w:rsidP="00C25936">
      <w:pPr>
        <w:pStyle w:val="Prrafodelista"/>
      </w:pPr>
      <w:r w:rsidRPr="00C25936">
        <w:t>RIPE (</w:t>
      </w:r>
      <w:proofErr w:type="spellStart"/>
      <w:r w:rsidRPr="00C25936">
        <w:t>Reseaux</w:t>
      </w:r>
      <w:proofErr w:type="spellEnd"/>
      <w:r w:rsidRPr="00C25936">
        <w:t xml:space="preserve"> IP </w:t>
      </w:r>
      <w:proofErr w:type="spellStart"/>
      <w:r w:rsidRPr="00C25936">
        <w:t>Europeens</w:t>
      </w:r>
      <w:proofErr w:type="spellEnd"/>
      <w:r w:rsidRPr="00C25936">
        <w:t xml:space="preserve">): Europa y Oriente Medio </w:t>
      </w:r>
    </w:p>
    <w:p w14:paraId="7281C6C0" w14:textId="77777777" w:rsidR="00C25936" w:rsidRPr="00C25936" w:rsidRDefault="00C25936" w:rsidP="00C25936">
      <w:pPr>
        <w:pStyle w:val="Prrafodelista"/>
        <w:rPr>
          <w:lang w:val="en-US"/>
        </w:rPr>
      </w:pPr>
      <w:r w:rsidRPr="00C25936">
        <w:rPr>
          <w:lang w:val="en-US"/>
        </w:rPr>
        <w:t>APNIC (Asia Pacific Network Information Center): Asia-</w:t>
      </w:r>
      <w:proofErr w:type="spellStart"/>
      <w:r w:rsidRPr="00C25936">
        <w:rPr>
          <w:lang w:val="en-US"/>
        </w:rPr>
        <w:t>Pacífico</w:t>
      </w:r>
      <w:proofErr w:type="spellEnd"/>
    </w:p>
    <w:p w14:paraId="77B2B0F4" w14:textId="77777777" w:rsidR="00C25936" w:rsidRPr="00C25936" w:rsidRDefault="00C25936" w:rsidP="00C25936">
      <w:pPr>
        <w:pStyle w:val="Prrafodelista"/>
        <w:rPr>
          <w:lang w:val="en-US"/>
        </w:rPr>
      </w:pPr>
      <w:r w:rsidRPr="00C25936">
        <w:rPr>
          <w:lang w:val="en-US"/>
        </w:rPr>
        <w:t xml:space="preserve">LACNIC (Latin American and Caribbean Network Information Center): </w:t>
      </w:r>
      <w:proofErr w:type="spellStart"/>
      <w:r w:rsidRPr="00C25936">
        <w:rPr>
          <w:lang w:val="en-US"/>
        </w:rPr>
        <w:t>Sudamérica</w:t>
      </w:r>
      <w:proofErr w:type="spellEnd"/>
      <w:r w:rsidRPr="00C25936">
        <w:rPr>
          <w:lang w:val="en-US"/>
        </w:rPr>
        <w:t xml:space="preserve"> y </w:t>
      </w:r>
      <w:proofErr w:type="spellStart"/>
      <w:r w:rsidRPr="00C25936">
        <w:rPr>
          <w:lang w:val="en-US"/>
        </w:rPr>
        <w:t>países</w:t>
      </w:r>
      <w:proofErr w:type="spellEnd"/>
      <w:r w:rsidRPr="00C25936">
        <w:rPr>
          <w:lang w:val="en-US"/>
        </w:rPr>
        <w:t xml:space="preserve"> </w:t>
      </w:r>
      <w:proofErr w:type="spellStart"/>
      <w:r w:rsidRPr="00C25936">
        <w:rPr>
          <w:lang w:val="en-US"/>
        </w:rPr>
        <w:t>caribeños</w:t>
      </w:r>
      <w:proofErr w:type="spellEnd"/>
    </w:p>
    <w:p w14:paraId="37BB322E" w14:textId="1D3B6E90" w:rsidR="00C25936" w:rsidRDefault="00C25936" w:rsidP="00C25936">
      <w:pPr>
        <w:pStyle w:val="Prrafodelista"/>
        <w:rPr>
          <w:lang w:val="en-US"/>
        </w:rPr>
      </w:pPr>
      <w:proofErr w:type="spellStart"/>
      <w:r w:rsidRPr="00C25936">
        <w:rPr>
          <w:lang w:val="en-US"/>
        </w:rPr>
        <w:t>AfriNIC</w:t>
      </w:r>
      <w:proofErr w:type="spellEnd"/>
      <w:r w:rsidRPr="00C25936">
        <w:rPr>
          <w:lang w:val="en-US"/>
        </w:rPr>
        <w:t xml:space="preserve"> (African Network Information Center): África</w:t>
      </w:r>
    </w:p>
    <w:p w14:paraId="75BA2103" w14:textId="77777777" w:rsidR="00C25936" w:rsidRDefault="00C25936" w:rsidP="00C25936">
      <w:pPr>
        <w:pStyle w:val="Prrafodelista"/>
        <w:rPr>
          <w:lang w:val="en-US"/>
        </w:rPr>
      </w:pPr>
    </w:p>
    <w:p w14:paraId="67BE7148" w14:textId="55BCEB88" w:rsidR="00C25936" w:rsidRPr="00C25936" w:rsidRDefault="00C25936" w:rsidP="00C25936">
      <w:pPr>
        <w:rPr>
          <w:u w:val="single"/>
        </w:rPr>
      </w:pPr>
      <w:r w:rsidRPr="00C25936">
        <w:t xml:space="preserve">SUBREDES: fragmentación de las direcciones </w:t>
      </w:r>
      <w:r>
        <w:t xml:space="preserve">IP en subconjuntos. Usado para aislar el tráfico entre las subredes, aislando así el tráfico y obligando a la comunicación a través de un </w:t>
      </w:r>
      <w:proofErr w:type="spellStart"/>
      <w:r>
        <w:t>router</w:t>
      </w:r>
      <w:proofErr w:type="spellEnd"/>
      <w:r>
        <w:t xml:space="preserve">. </w:t>
      </w:r>
    </w:p>
    <w:sectPr w:rsidR="00C25936" w:rsidRPr="00C259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B23AE"/>
    <w:multiLevelType w:val="hybridMultilevel"/>
    <w:tmpl w:val="91445A88"/>
    <w:lvl w:ilvl="0" w:tplc="B358D2F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741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8E"/>
    <w:rsid w:val="001825A8"/>
    <w:rsid w:val="004D7917"/>
    <w:rsid w:val="0058189F"/>
    <w:rsid w:val="00A82825"/>
    <w:rsid w:val="00AF6BBB"/>
    <w:rsid w:val="00C25936"/>
    <w:rsid w:val="00C57A10"/>
    <w:rsid w:val="00CA678E"/>
    <w:rsid w:val="00D202D1"/>
    <w:rsid w:val="00D46311"/>
    <w:rsid w:val="00E82D60"/>
    <w:rsid w:val="00F728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382A"/>
  <w15:chartTrackingRefBased/>
  <w15:docId w15:val="{045B21CD-6FC7-46B1-B2C4-92193008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6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6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67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67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67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67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67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67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67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67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67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67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67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67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67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67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67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678E"/>
    <w:rPr>
      <w:rFonts w:eastAsiaTheme="majorEastAsia" w:cstheme="majorBidi"/>
      <w:color w:val="272727" w:themeColor="text1" w:themeTint="D8"/>
    </w:rPr>
  </w:style>
  <w:style w:type="paragraph" w:styleId="Ttulo">
    <w:name w:val="Title"/>
    <w:basedOn w:val="Normal"/>
    <w:next w:val="Normal"/>
    <w:link w:val="TtuloCar"/>
    <w:uiPriority w:val="10"/>
    <w:qFormat/>
    <w:rsid w:val="00CA6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67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67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67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678E"/>
    <w:pPr>
      <w:spacing w:before="160"/>
      <w:jc w:val="center"/>
    </w:pPr>
    <w:rPr>
      <w:i/>
      <w:iCs/>
      <w:color w:val="404040" w:themeColor="text1" w:themeTint="BF"/>
    </w:rPr>
  </w:style>
  <w:style w:type="character" w:customStyle="1" w:styleId="CitaCar">
    <w:name w:val="Cita Car"/>
    <w:basedOn w:val="Fuentedeprrafopredeter"/>
    <w:link w:val="Cita"/>
    <w:uiPriority w:val="29"/>
    <w:rsid w:val="00CA678E"/>
    <w:rPr>
      <w:i/>
      <w:iCs/>
      <w:color w:val="404040" w:themeColor="text1" w:themeTint="BF"/>
    </w:rPr>
  </w:style>
  <w:style w:type="paragraph" w:styleId="Prrafodelista">
    <w:name w:val="List Paragraph"/>
    <w:basedOn w:val="Normal"/>
    <w:uiPriority w:val="34"/>
    <w:qFormat/>
    <w:rsid w:val="00CA678E"/>
    <w:pPr>
      <w:ind w:left="720"/>
      <w:contextualSpacing/>
    </w:pPr>
  </w:style>
  <w:style w:type="character" w:styleId="nfasisintenso">
    <w:name w:val="Intense Emphasis"/>
    <w:basedOn w:val="Fuentedeprrafopredeter"/>
    <w:uiPriority w:val="21"/>
    <w:qFormat/>
    <w:rsid w:val="00CA678E"/>
    <w:rPr>
      <w:i/>
      <w:iCs/>
      <w:color w:val="0F4761" w:themeColor="accent1" w:themeShade="BF"/>
    </w:rPr>
  </w:style>
  <w:style w:type="paragraph" w:styleId="Citadestacada">
    <w:name w:val="Intense Quote"/>
    <w:basedOn w:val="Normal"/>
    <w:next w:val="Normal"/>
    <w:link w:val="CitadestacadaCar"/>
    <w:uiPriority w:val="30"/>
    <w:qFormat/>
    <w:rsid w:val="00CA6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678E"/>
    <w:rPr>
      <w:i/>
      <w:iCs/>
      <w:color w:val="0F4761" w:themeColor="accent1" w:themeShade="BF"/>
    </w:rPr>
  </w:style>
  <w:style w:type="character" w:styleId="Referenciaintensa">
    <w:name w:val="Intense Reference"/>
    <w:basedOn w:val="Fuentedeprrafopredeter"/>
    <w:uiPriority w:val="32"/>
    <w:qFormat/>
    <w:rsid w:val="00CA6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568</Words>
  <Characters>3129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ROSELL GARCÍA</dc:creator>
  <cp:keywords/>
  <dc:description/>
  <cp:lastModifiedBy>MARIO ROSELL GARCÍA</cp:lastModifiedBy>
  <cp:revision>1</cp:revision>
  <dcterms:created xsi:type="dcterms:W3CDTF">2026-10-07T07:05:00Z</dcterms:created>
  <dcterms:modified xsi:type="dcterms:W3CDTF">2026-10-07T08:40:00Z</dcterms:modified>
</cp:coreProperties>
</file>